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宋体" w:hAnsi="宋体" w:cs="宋体"/>
                <w:sz w:val="24"/>
                <w:szCs w:val="24"/>
              </w:rPr>
              <w:drawing>
                <wp:anchor distT="0" distB="0" distL="114300" distR="114300" simplePos="0" relativeHeight="251661312" behindDoc="1" locked="0" layoutInCell="1" allowOverlap="1">
                  <wp:simplePos x="0" y="0"/>
                  <wp:positionH relativeFrom="column">
                    <wp:posOffset>3471545</wp:posOffset>
                  </wp:positionH>
                  <wp:positionV relativeFrom="margin">
                    <wp:posOffset>16510</wp:posOffset>
                  </wp:positionV>
                  <wp:extent cx="2162810" cy="962025"/>
                  <wp:effectExtent l="0" t="0" r="8890" b="9525"/>
                  <wp:wrapNone/>
                  <wp:docPr id="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162810" cy="962025"/>
                          </a:xfrm>
                          <a:prstGeom prst="rect">
                            <a:avLst/>
                          </a:prstGeom>
                          <a:noFill/>
                        </pic:spPr>
                      </pic:pic>
                    </a:graphicData>
                  </a:graphic>
                </wp:anchor>
              </w:drawing>
            </w: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点击此处添加ICS号</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p>
      <w:pPr>
        <w:pStyle w:val="196"/>
      </w:pPr>
      <w:r>
        <w:t xml:space="preserve">T/ZZB </w:t>
      </w:r>
      <w:r>
        <w:fldChar w:fldCharType="begin">
          <w:ffData>
            <w:name w:val="NSTD_CODE_F"/>
            <w:enabled/>
            <w:calcOnExit w:val="0"/>
            <w:textInput>
              <w:default w:val="XXXX"/>
            </w:textInput>
          </w:ffData>
        </w:fldChar>
      </w:r>
      <w:bookmarkStart w:id="2" w:name="NSTD_CODE_F"/>
      <w:r>
        <w:instrText xml:space="preserve"> FORMTEXT </w:instrText>
      </w:r>
      <w:r>
        <w:fldChar w:fldCharType="separate"/>
      </w:r>
      <w:r>
        <w:t>XXXX</w:t>
      </w:r>
      <w:r>
        <w:fldChar w:fldCharType="end"/>
      </w:r>
      <w:bookmarkEnd w:id="2"/>
      <w:r>
        <w:rPr>
          <w:rFonts w:hAnsi="黑体"/>
        </w:rPr>
        <w:t>—</w:t>
      </w:r>
      <w:r>
        <w:fldChar w:fldCharType="begin">
          <w:ffData>
            <w:name w:val="NSTD_CODE_B"/>
            <w:enabled/>
            <w:calcOnExit w:val="0"/>
            <w:textInput>
              <w:default w:val="XXXX"/>
            </w:textInput>
          </w:ffData>
        </w:fldChar>
      </w:r>
      <w:bookmarkStart w:id="3" w:name="NSTD_CODE_B"/>
      <w:r>
        <w:instrText xml:space="preserve"> FORMTEXT </w:instrText>
      </w:r>
      <w:r>
        <w:fldChar w:fldCharType="separate"/>
      </w:r>
      <w:r>
        <w:t>XXXX</w:t>
      </w:r>
      <w:r>
        <w:fldChar w:fldCharType="end"/>
      </w:r>
      <w:bookmarkEnd w:id="3"/>
    </w:p>
    <w:p>
      <w:pPr>
        <w:pStyle w:val="197"/>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4"/>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rPr>
          <w:rFonts w:hint="eastAsia"/>
        </w:rPr>
        <w:t>吡唑醚菌酯悬浮剂</w:t>
      </w:r>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t>Pyraclostrobin aqueous suspension concentrate</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5" w:name="下拉1"/>
      <w:r>
        <w:rPr>
          <w:sz w:val="24"/>
          <w:szCs w:val="28"/>
        </w:rPr>
        <w:instrText xml:space="preserve"> FORMDROPDOWN </w:instrText>
      </w:r>
      <w:r>
        <w:rPr>
          <w:sz w:val="24"/>
          <w:szCs w:val="28"/>
        </w:rPr>
        <w:fldChar w:fldCharType="separate"/>
      </w:r>
      <w:r>
        <w:rPr>
          <w:sz w:val="24"/>
          <w:szCs w:val="28"/>
        </w:rPr>
        <w:fldChar w:fldCharType="end"/>
      </w:r>
      <w:bookmarkEnd w:id="5"/>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6"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6"/>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pPr>
        <w:pStyle w:val="194"/>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pPr>
        <w:pStyle w:val="152"/>
        <w:framePr w:h="584" w:hRule="exact" w:hSpace="181" w:vSpace="181" w:wrap="around" w:y="14800"/>
        <w:rPr>
          <w:rFonts w:hAnsi="黑体"/>
        </w:rPr>
      </w:pPr>
      <w:r>
        <w:rPr>
          <w:rFonts w:hint="eastAsia" w:hAnsi="黑体"/>
          <w:w w:val="100"/>
          <w:sz w:val="28"/>
        </w:rPr>
        <w:t>浙江省质量协会</w:t>
      </w:r>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pStyle w:val="151"/>
        <w:framePr w:w="6804" w:wrap="auto" w:vAnchor="text" w:hAnchor="page" w:x="2701" w:y="223"/>
        <w:rPr>
          <w:rFonts w:hAnsi="黑体" w:cs="黑体"/>
          <w:sz w:val="72"/>
          <w:szCs w:val="52"/>
        </w:rPr>
      </w:pPr>
      <w:r>
        <w:rPr>
          <w:rFonts w:hint="eastAsia" w:hAnsi="黑体" w:cs="黑体"/>
          <w:sz w:val="72"/>
        </w:rPr>
        <w:t>团体标准</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2"/>
        <w:spacing w:after="360"/>
      </w:pPr>
      <w:bookmarkStart w:id="14" w:name="BookMark1"/>
      <w:bookmarkStart w:id="15" w:name="_Toc81310500"/>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"_Toc81316121" </w:instrText>
      </w:r>
      <w:r>
        <w:fldChar w:fldCharType="separate"/>
      </w:r>
      <w:r>
        <w:rPr>
          <w:rStyle w:val="33"/>
        </w:rPr>
        <w:t>前言</w:t>
      </w:r>
      <w:r>
        <w:tab/>
      </w:r>
      <w:r>
        <w:fldChar w:fldCharType="begin"/>
      </w:r>
      <w:r>
        <w:instrText xml:space="preserve"> PAGEREF _Toc81316121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"_Toc81316122" </w:instrText>
      </w:r>
      <w:r>
        <w:fldChar w:fldCharType="separate"/>
      </w:r>
      <w:r>
        <w:rPr>
          <w:rStyle w:val="33"/>
        </w:rPr>
        <w:t>1  范围</w:t>
      </w:r>
      <w:r>
        <w:tab/>
      </w:r>
      <w:r>
        <w:fldChar w:fldCharType="begin"/>
      </w:r>
      <w:r>
        <w:instrText xml:space="preserve"> PAGEREF _Toc81316122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"_Toc81316123" </w:instrText>
      </w:r>
      <w:r>
        <w:fldChar w:fldCharType="separate"/>
      </w:r>
      <w:r>
        <w:rPr>
          <w:rStyle w:val="33"/>
        </w:rPr>
        <w:t>2  规范性引用文件</w:t>
      </w:r>
      <w:r>
        <w:tab/>
      </w:r>
      <w:r>
        <w:fldChar w:fldCharType="begin"/>
      </w:r>
      <w:r>
        <w:instrText xml:space="preserve"> PAGEREF _Toc81316123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"_Toc81316124" </w:instrText>
      </w:r>
      <w:r>
        <w:fldChar w:fldCharType="separate"/>
      </w:r>
      <w:r>
        <w:rPr>
          <w:rStyle w:val="33"/>
        </w:rPr>
        <w:t>3  术语和定义</w:t>
      </w:r>
      <w:r>
        <w:tab/>
      </w:r>
      <w:r>
        <w:fldChar w:fldCharType="begin"/>
      </w:r>
      <w:r>
        <w:instrText xml:space="preserve"> PAGEREF _Toc81316124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"_Toc81316125" </w:instrText>
      </w:r>
      <w:r>
        <w:fldChar w:fldCharType="separate"/>
      </w:r>
      <w:r>
        <w:rPr>
          <w:rStyle w:val="33"/>
        </w:rPr>
        <w:t>4  基本要求</w:t>
      </w:r>
      <w:r>
        <w:tab/>
      </w:r>
      <w:r>
        <w:fldChar w:fldCharType="begin"/>
      </w:r>
      <w:r>
        <w:instrText xml:space="preserve"> PAGEREF _Toc81316125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"_Toc81316126" </w:instrText>
      </w:r>
      <w:r>
        <w:fldChar w:fldCharType="separate"/>
      </w:r>
      <w:r>
        <w:rPr>
          <w:rStyle w:val="33"/>
        </w:rPr>
        <w:t>5  技术要求</w:t>
      </w:r>
      <w:r>
        <w:tab/>
      </w:r>
      <w:r>
        <w:fldChar w:fldCharType="begin"/>
      </w:r>
      <w:r>
        <w:instrText xml:space="preserve"> PAGEREF _Toc81316126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"_Toc81316127" </w:instrText>
      </w:r>
      <w:r>
        <w:fldChar w:fldCharType="separate"/>
      </w:r>
      <w:r>
        <w:rPr>
          <w:rStyle w:val="33"/>
        </w:rPr>
        <w:t>6  试验方法</w:t>
      </w:r>
      <w:r>
        <w:tab/>
      </w:r>
      <w:r>
        <w:fldChar w:fldCharType="begin"/>
      </w:r>
      <w:r>
        <w:instrText xml:space="preserve"> PAGEREF _Toc81316127 \h </w:instrText>
      </w:r>
      <w:r>
        <w:fldChar w:fldCharType="separate"/>
      </w:r>
      <w:r>
        <w:t>2</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"_Toc81316128" </w:instrText>
      </w:r>
      <w:r>
        <w:fldChar w:fldCharType="separate"/>
      </w:r>
      <w:r>
        <w:rPr>
          <w:rStyle w:val="33"/>
        </w:rPr>
        <w:t>7  检验规则</w:t>
      </w:r>
      <w:r>
        <w:tab/>
      </w:r>
      <w:r>
        <w:fldChar w:fldCharType="begin"/>
      </w:r>
      <w:r>
        <w:instrText xml:space="preserve"> PAGEREF _Toc81316128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"_Toc81316129" </w:instrText>
      </w:r>
      <w:r>
        <w:fldChar w:fldCharType="separate"/>
      </w:r>
      <w:r>
        <w:rPr>
          <w:rStyle w:val="33"/>
        </w:rPr>
        <w:t>8  标志、包装、运输与贮存</w:t>
      </w:r>
      <w:r>
        <w:tab/>
      </w:r>
      <w:r>
        <w:fldChar w:fldCharType="begin"/>
      </w:r>
      <w:r>
        <w:instrText xml:space="preserve"> PAGEREF _Toc81316129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"_Toc81316130" </w:instrText>
      </w:r>
      <w:r>
        <w:fldChar w:fldCharType="separate"/>
      </w:r>
      <w:r>
        <w:rPr>
          <w:rStyle w:val="33"/>
        </w:rPr>
        <w:t>9  质量承诺</w:t>
      </w:r>
      <w:r>
        <w:tab/>
      </w:r>
      <w:r>
        <w:fldChar w:fldCharType="begin"/>
      </w:r>
      <w:r>
        <w:instrText xml:space="preserve"> PAGEREF _Toc81316130 \h </w:instrText>
      </w:r>
      <w:r>
        <w:fldChar w:fldCharType="separate"/>
      </w:r>
      <w:r>
        <w:t>6</w:t>
      </w:r>
      <w:r>
        <w:fldChar w:fldCharType="end"/>
      </w:r>
      <w:r>
        <w:fldChar w:fldCharType="end"/>
      </w:r>
    </w:p>
    <w:p>
      <w:pPr>
        <w:pStyle w:val="92"/>
        <w:spacing w:after="360"/>
        <w:sectPr>
          <w:headerReference r:id="rId9" w:type="default"/>
          <w:footerReference r:id="rId11" w:type="default"/>
          <w:headerReference r:id="rId10" w:type="even"/>
          <w:pgSz w:w="11906" w:h="16838"/>
          <w:pgMar w:top="567" w:right="1134" w:bottom="1134" w:left="1134" w:header="1418" w:footer="1134" w:gutter="284"/>
          <w:pgNumType w:fmt="upperRoman" w:start="1"/>
          <w:cols w:space="425" w:num="1"/>
          <w:formProt w:val="0"/>
          <w:docGrid w:linePitch="312" w:charSpace="0"/>
        </w:sectPr>
      </w:pPr>
      <w:r>
        <w:fldChar w:fldCharType="end"/>
      </w:r>
    </w:p>
    <w:bookmarkEnd w:id="14"/>
    <w:p>
      <w:pPr>
        <w:pStyle w:val="90"/>
        <w:spacing w:after="360"/>
      </w:pPr>
      <w:bookmarkStart w:id="16" w:name="_Toc81316121"/>
      <w:bookmarkStart w:id="17" w:name="BookMark2"/>
      <w:r>
        <w:rPr>
          <w:spacing w:val="320"/>
        </w:rPr>
        <w:t>前</w:t>
      </w:r>
      <w:r>
        <w:t>言</w:t>
      </w:r>
      <w:bookmarkEnd w:id="15"/>
      <w:bookmarkEnd w:id="16"/>
    </w:p>
    <w:p>
      <w:pPr>
        <w:pStyle w:val="57"/>
        <w:ind w:firstLine="420"/>
      </w:pPr>
      <w:r>
        <w:rPr>
          <w:rFonts w:hint="eastAsia"/>
        </w:rPr>
        <w:t>本文件按照GB/T 1.1—2020《标准化工作导则 第1部分：标准化文件的结构和起草规则》给出的规则起草。</w:t>
      </w:r>
    </w:p>
    <w:p>
      <w:pPr>
        <w:pStyle w:val="57"/>
        <w:ind w:firstLine="420"/>
      </w:pPr>
      <w:r>
        <w:rPr>
          <w:rFonts w:hint="eastAsia"/>
        </w:rPr>
        <w:t>本文件的某些内容可能涉及专利，本文件的发布机构不承担识别专利的责任。</w:t>
      </w:r>
    </w:p>
    <w:p>
      <w:pPr>
        <w:pStyle w:val="57"/>
        <w:ind w:firstLine="420"/>
      </w:pPr>
      <w:r>
        <w:rPr>
          <w:rFonts w:hint="eastAsia"/>
        </w:rPr>
        <w:t>本文件由浙江省质量协会提出并归口管理。</w:t>
      </w:r>
    </w:p>
    <w:p>
      <w:pPr>
        <w:pStyle w:val="57"/>
        <w:ind w:firstLine="420"/>
      </w:pPr>
      <w:r>
        <w:rPr>
          <w:rFonts w:hint="eastAsia"/>
        </w:rPr>
        <w:t>本文件主要起草单位：</w:t>
      </w:r>
      <w:r>
        <w:rPr>
          <w:rFonts w:hint="eastAsia" w:cs="宋体"/>
        </w:rPr>
        <w:t>浙江世佳科技股份有限公司。</w:t>
      </w:r>
      <w:r>
        <w:t xml:space="preserve"> </w:t>
      </w:r>
    </w:p>
    <w:p>
      <w:pPr>
        <w:autoSpaceDE w:val="0"/>
        <w:autoSpaceDN w:val="0"/>
        <w:spacing w:line="240" w:lineRule="auto"/>
        <w:ind w:firstLine="420"/>
        <w:jc w:val="left"/>
        <w:rPr>
          <w:rFonts w:ascii="宋体" w:cs="宋体"/>
          <w:kern w:val="0"/>
        </w:rPr>
      </w:pPr>
      <w:r>
        <w:rPr>
          <w:rFonts w:hint="eastAsia"/>
        </w:rPr>
        <w:t>本文件参与起草单位</w:t>
      </w:r>
      <w:r>
        <w:rPr>
          <w:rFonts w:hint="eastAsia" w:ascii="宋体" w:cs="宋体"/>
          <w:kern w:val="0"/>
        </w:rPr>
        <w:t>：浙江科标检测技术有限公司、浙江锦上生物科技有限公司、</w:t>
      </w:r>
    </w:p>
    <w:p>
      <w:pPr>
        <w:pStyle w:val="57"/>
        <w:ind w:firstLine="420"/>
      </w:pPr>
      <w:r>
        <w:rPr>
          <w:rFonts w:hint="eastAsia" w:cs="宋体"/>
        </w:rPr>
        <w:t>浙江佳源农林科技有限公司。</w:t>
      </w:r>
    </w:p>
    <w:p>
      <w:pPr>
        <w:pStyle w:val="57"/>
        <w:ind w:firstLine="420"/>
      </w:pPr>
      <w:r>
        <w:rPr>
          <w:rFonts w:hint="eastAsia"/>
        </w:rPr>
        <w:t>本文件主要起草人：</w:t>
      </w:r>
      <w:r>
        <w:rPr>
          <w:rFonts w:hint="eastAsia" w:cs="宋体"/>
        </w:rPr>
        <w:t>胡剑锋、沈学锋、郑锋、周月霞。</w:t>
      </w:r>
    </w:p>
    <w:p>
      <w:pPr>
        <w:pStyle w:val="57"/>
        <w:ind w:firstLine="420"/>
      </w:pPr>
      <w:r>
        <w:rPr>
          <w:rFonts w:hint="eastAsia"/>
        </w:rPr>
        <w:t>本文件评审专家组长：</w:t>
      </w:r>
      <w:r>
        <w:t xml:space="preserve"> </w:t>
      </w:r>
    </w:p>
    <w:p>
      <w:pPr>
        <w:pStyle w:val="57"/>
        <w:ind w:firstLine="420"/>
      </w:pPr>
      <w:r>
        <w:rPr>
          <w:rFonts w:hint="eastAsia"/>
        </w:rPr>
        <w:t>本文件由XXX负责解释。</w:t>
      </w:r>
    </w:p>
    <w:p>
      <w:pPr>
        <w:pStyle w:val="57"/>
        <w:ind w:firstLine="420"/>
      </w:pPr>
    </w:p>
    <w:p>
      <w:pPr>
        <w:pStyle w:val="57"/>
        <w:ind w:firstLine="420"/>
        <w:sectPr>
          <w:pgSz w:w="11906" w:h="16838"/>
          <w:pgMar w:top="567" w:right="1134" w:bottom="1134" w:left="1134" w:header="1418" w:footer="1134" w:gutter="284"/>
          <w:pgNumType w:fmt="upperRoman"/>
          <w:cols w:space="425" w:num="1"/>
          <w:formProt w:val="0"/>
          <w:docGrid w:linePitch="312" w:charSpace="0"/>
        </w:sectPr>
      </w:pP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84A9F9883FF745F5B36977B1A97EC511"/>
        </w:placeholder>
      </w:sdtPr>
      <w:sdtContent>
        <w:p>
          <w:pPr>
            <w:pStyle w:val="178"/>
            <w:spacing w:before="240" w:beforeLines="100" w:after="528" w:afterLines="220"/>
          </w:pPr>
          <w:bookmarkStart w:id="19" w:name="NEW_STAND_NAME"/>
          <w:r>
            <w:rPr>
              <w:rFonts w:hint="eastAsia"/>
            </w:rPr>
            <w:t>标准名称</w:t>
          </w:r>
          <w:r>
            <w:t xml:space="preserve"> </w:t>
          </w:r>
        </w:p>
      </w:sdtContent>
    </w:sdt>
    <w:bookmarkEnd w:id="19"/>
    <w:p>
      <w:pPr>
        <w:pStyle w:val="105"/>
        <w:spacing w:before="240" w:after="240"/>
      </w:pPr>
      <w:bookmarkStart w:id="20" w:name="_Toc26718930"/>
      <w:bookmarkStart w:id="21" w:name="_Toc79398762"/>
      <w:bookmarkStart w:id="22" w:name="_Toc24884218"/>
      <w:bookmarkStart w:id="23" w:name="_Toc81310501"/>
      <w:bookmarkStart w:id="24" w:name="_Toc75767630"/>
      <w:bookmarkStart w:id="25" w:name="_Toc17233333"/>
      <w:bookmarkStart w:id="26" w:name="_Toc24884211"/>
      <w:bookmarkStart w:id="27" w:name="_Toc26986530"/>
      <w:bookmarkStart w:id="28" w:name="_Toc17233325"/>
      <w:bookmarkStart w:id="29" w:name="_Toc80801156"/>
      <w:bookmarkStart w:id="30" w:name="_Toc26648465"/>
      <w:bookmarkStart w:id="31" w:name="_Toc81040472"/>
      <w:bookmarkStart w:id="32" w:name="_Toc81316122"/>
      <w:bookmarkStart w:id="33" w:name="_Toc26986771"/>
      <w:r>
        <w:rPr>
          <w:rFonts w:hint="eastAsia"/>
        </w:rPr>
        <w:t>范围</w:t>
      </w:r>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57"/>
        <w:ind w:firstLine="420"/>
      </w:pPr>
      <w:bookmarkStart w:id="34" w:name="_Toc26648466"/>
      <w:bookmarkStart w:id="35" w:name="_Toc24884219"/>
      <w:bookmarkStart w:id="36" w:name="_Toc24884212"/>
      <w:bookmarkStart w:id="37" w:name="_Toc17233334"/>
      <w:bookmarkStart w:id="38" w:name="_Toc17233326"/>
      <w:r>
        <w:rPr>
          <w:rFonts w:hint="eastAsia"/>
        </w:rPr>
        <w:t>本文件规定了</w:t>
      </w:r>
      <w:r>
        <w:rPr>
          <w:rFonts w:hint="eastAsia" w:cs="宋体"/>
        </w:rPr>
        <w:t>吡唑醚菌酯悬浮剂</w:t>
      </w:r>
      <w:r>
        <w:rPr>
          <w:rFonts w:hint="eastAsia"/>
        </w:rPr>
        <w:t>的基本要求、技术要求、试验方法、检验规则、标志、包装、运输与贮存、质量承诺。</w:t>
      </w:r>
    </w:p>
    <w:p>
      <w:pPr>
        <w:autoSpaceDE w:val="0"/>
        <w:autoSpaceDN w:val="0"/>
        <w:spacing w:line="240" w:lineRule="auto"/>
        <w:ind w:firstLine="420"/>
        <w:jc w:val="left"/>
        <w:rPr>
          <w:rFonts w:ascii="宋体" w:cs="宋体"/>
          <w:kern w:val="0"/>
        </w:rPr>
      </w:pPr>
      <w:r>
        <w:rPr>
          <w:rFonts w:hint="eastAsia"/>
        </w:rPr>
        <w:t>本文件适用于</w:t>
      </w:r>
      <w:r>
        <w:rPr>
          <w:rFonts w:hint="eastAsia" w:ascii="宋体" w:cs="宋体"/>
          <w:kern w:val="0"/>
        </w:rPr>
        <w:t>由吡唑醚菌酯原药、分散剂、润湿剂、增稠剂、抗冻剂、消泡剂、防腐剂等助剂和水加工成的</w:t>
      </w:r>
      <w:r>
        <w:rPr>
          <w:rFonts w:hint="eastAsia" w:cs="宋体"/>
        </w:rPr>
        <w:t>吡唑醚菌酯</w:t>
      </w:r>
      <w:r>
        <w:rPr>
          <w:rFonts w:hint="eastAsia" w:ascii="宋体" w:cs="宋体"/>
          <w:kern w:val="0"/>
        </w:rPr>
        <w:t>悬浮剂</w:t>
      </w:r>
      <w:r>
        <w:rPr>
          <w:rFonts w:hint="eastAsia"/>
        </w:rPr>
        <w:t>。</w:t>
      </w:r>
    </w:p>
    <w:p>
      <w:pPr>
        <w:pStyle w:val="105"/>
        <w:spacing w:before="240" w:after="240"/>
      </w:pPr>
      <w:bookmarkStart w:id="39" w:name="_Toc80801157"/>
      <w:bookmarkStart w:id="40" w:name="_Toc79398763"/>
      <w:bookmarkStart w:id="41" w:name="_Toc26986772"/>
      <w:bookmarkStart w:id="42" w:name="_Toc81040473"/>
      <w:bookmarkStart w:id="43" w:name="_Toc81310502"/>
      <w:bookmarkStart w:id="44" w:name="_Toc81316123"/>
      <w:bookmarkStart w:id="45" w:name="_Toc26986531"/>
      <w:bookmarkStart w:id="46" w:name="_Toc75767631"/>
      <w:bookmarkStart w:id="47" w:name="_Toc26718931"/>
      <w:r>
        <w:rPr>
          <w:rFonts w:hint="eastAsia"/>
        </w:rPr>
        <w:t>规范性引用文件</w:t>
      </w:r>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57"/>
        <w:ind w:firstLine="420"/>
      </w:pPr>
      <w:sdt>
        <w:sdtPr>
          <w:rPr>
            <w:rFonts w:hint="eastAsia"/>
          </w:rPr>
          <w:id w:val="715848253"/>
          <w:placeholder>
            <w:docPart w:val="94DE3E7453524D7DBE148E9FF0C69E8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sdtContent>
      </w:sdt>
      <w:r>
        <w:t xml:space="preserve"> </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 xml:space="preserve">1601 </w:t>
      </w:r>
      <w:r>
        <w:rPr>
          <w:rFonts w:hint="eastAsia" w:ascii="宋体" w:hAnsi="TimesNewRomanPSMT" w:cs="宋体"/>
          <w:kern w:val="0"/>
        </w:rPr>
        <w:t>农药</w:t>
      </w:r>
      <w:r>
        <w:rPr>
          <w:rFonts w:ascii="TimesNewRomanPSMT" w:hAnsi="TimesNewRomanPSMT" w:cs="TimesNewRomanPSMT"/>
          <w:kern w:val="0"/>
        </w:rPr>
        <w:t>pH</w:t>
      </w:r>
      <w:r>
        <w:rPr>
          <w:rFonts w:hint="eastAsia" w:ascii="宋体" w:hAnsi="TimesNewRomanPSMT" w:cs="宋体"/>
          <w:kern w:val="0"/>
        </w:rPr>
        <w:t>值的测定方法</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 xml:space="preserve">1604 </w:t>
      </w:r>
      <w:r>
        <w:rPr>
          <w:rFonts w:hint="eastAsia" w:ascii="宋体" w:hAnsi="TimesNewRomanPSMT" w:cs="宋体"/>
          <w:kern w:val="0"/>
        </w:rPr>
        <w:t>商品农药验收规则</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1605</w:t>
      </w:r>
      <w:r>
        <w:rPr>
          <w:rFonts w:hint="eastAsia" w:ascii="宋体" w:hAnsi="TimesNewRomanPSMT" w:cs="宋体"/>
          <w:kern w:val="0"/>
        </w:rPr>
        <w:t>—</w:t>
      </w:r>
      <w:r>
        <w:rPr>
          <w:rFonts w:ascii="宋体" w:hAnsi="TimesNewRomanPSMT" w:cs="宋体"/>
          <w:kern w:val="0"/>
        </w:rPr>
        <w:t xml:space="preserve">2001 </w:t>
      </w:r>
      <w:r>
        <w:rPr>
          <w:rFonts w:hint="eastAsia" w:ascii="宋体" w:hAnsi="TimesNewRomanPSMT" w:cs="宋体"/>
          <w:kern w:val="0"/>
        </w:rPr>
        <w:t>商品农药采样方法</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 </w:t>
      </w:r>
      <w:r>
        <w:rPr>
          <w:rFonts w:ascii="宋体" w:hAnsi="TimesNewRomanPSMT" w:cs="宋体"/>
          <w:kern w:val="0"/>
        </w:rPr>
        <w:t>1886.41</w:t>
      </w:r>
      <w:r>
        <w:rPr>
          <w:rFonts w:hint="eastAsia" w:ascii="宋体" w:hAnsi="TimesNewRomanPSMT" w:cs="宋体"/>
          <w:kern w:val="0"/>
        </w:rPr>
        <w:t>—</w:t>
      </w:r>
      <w:r>
        <w:rPr>
          <w:rFonts w:ascii="宋体" w:hAnsi="TimesNewRomanPSMT" w:cs="宋体"/>
          <w:kern w:val="0"/>
        </w:rPr>
        <w:t xml:space="preserve">2015 </w:t>
      </w:r>
      <w:r>
        <w:rPr>
          <w:rFonts w:hint="eastAsia" w:ascii="宋体" w:hAnsi="TimesNewRomanPSMT" w:cs="宋体"/>
          <w:kern w:val="0"/>
        </w:rPr>
        <w:t>食品安全国家标准</w:t>
      </w:r>
      <w:r>
        <w:rPr>
          <w:rFonts w:ascii="宋体" w:hAnsi="TimesNewRomanPSMT" w:cs="宋体"/>
          <w:kern w:val="0"/>
        </w:rPr>
        <w:t xml:space="preserve"> </w:t>
      </w:r>
      <w:r>
        <w:rPr>
          <w:rFonts w:hint="eastAsia" w:ascii="宋体" w:hAnsi="TimesNewRomanPSMT" w:cs="宋体"/>
          <w:kern w:val="0"/>
        </w:rPr>
        <w:t>食品添加剂</w:t>
      </w:r>
      <w:r>
        <w:rPr>
          <w:rFonts w:ascii="宋体" w:hAnsi="TimesNewRomanPSMT" w:cs="宋体"/>
          <w:kern w:val="0"/>
        </w:rPr>
        <w:t xml:space="preserve"> </w:t>
      </w:r>
      <w:r>
        <w:rPr>
          <w:rFonts w:hint="eastAsia" w:ascii="宋体" w:hAnsi="TimesNewRomanPSMT" w:cs="宋体"/>
          <w:kern w:val="0"/>
        </w:rPr>
        <w:t>黄原胶</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 </w:t>
      </w:r>
      <w:r>
        <w:rPr>
          <w:rFonts w:ascii="宋体" w:hAnsi="TimesNewRomanPSMT" w:cs="宋体"/>
          <w:kern w:val="0"/>
        </w:rPr>
        <w:t xml:space="preserve">3796 </w:t>
      </w:r>
      <w:r>
        <w:rPr>
          <w:rFonts w:hint="eastAsia" w:ascii="宋体" w:hAnsi="TimesNewRomanPSMT" w:cs="宋体"/>
          <w:kern w:val="0"/>
        </w:rPr>
        <w:t>农药包装通则</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 xml:space="preserve">8170 </w:t>
      </w:r>
      <w:r>
        <w:rPr>
          <w:rFonts w:hint="eastAsia" w:ascii="宋体" w:hAnsi="TimesNewRomanPSMT" w:cs="宋体"/>
          <w:kern w:val="0"/>
        </w:rPr>
        <w:t>数值修约规则与极限数值的表示和判定</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14825</w:t>
      </w:r>
      <w:r>
        <w:rPr>
          <w:rFonts w:hint="eastAsia" w:ascii="宋体" w:hAnsi="TimesNewRomanPSMT" w:cs="宋体"/>
          <w:kern w:val="0"/>
        </w:rPr>
        <w:t>—</w:t>
      </w:r>
      <w:r>
        <w:rPr>
          <w:rFonts w:ascii="宋体" w:hAnsi="TimesNewRomanPSMT" w:cs="宋体"/>
          <w:kern w:val="0"/>
        </w:rPr>
        <w:t xml:space="preserve">2023 </w:t>
      </w:r>
      <w:r>
        <w:rPr>
          <w:rFonts w:hint="eastAsia" w:ascii="宋体" w:hAnsi="TimesNewRomanPSMT" w:cs="宋体"/>
          <w:kern w:val="0"/>
        </w:rPr>
        <w:t>农药悬浮率测定方法</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 xml:space="preserve">16150 </w:t>
      </w:r>
      <w:r>
        <w:rPr>
          <w:rFonts w:hint="eastAsia" w:ascii="宋体" w:hAnsi="TimesNewRomanPSMT" w:cs="宋体"/>
          <w:kern w:val="0"/>
        </w:rPr>
        <w:t>农药粉剂、可湿性粉剂细度测定方法</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19136</w:t>
      </w:r>
      <w:r>
        <w:rPr>
          <w:rFonts w:hint="eastAsia" w:ascii="宋体" w:hAnsi="TimesNewRomanPSMT" w:cs="宋体"/>
          <w:kern w:val="0"/>
        </w:rPr>
        <w:t>—</w:t>
      </w:r>
      <w:r>
        <w:rPr>
          <w:rFonts w:ascii="宋体" w:hAnsi="TimesNewRomanPSMT" w:cs="宋体"/>
          <w:kern w:val="0"/>
        </w:rPr>
        <w:t xml:space="preserve">2021 </w:t>
      </w:r>
      <w:r>
        <w:rPr>
          <w:rFonts w:hint="eastAsia" w:ascii="宋体" w:hAnsi="TimesNewRomanPSMT" w:cs="宋体"/>
          <w:kern w:val="0"/>
        </w:rPr>
        <w:t>农药热储稳定性测定方法</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19137</w:t>
      </w:r>
      <w:r>
        <w:rPr>
          <w:rFonts w:hint="eastAsia" w:ascii="宋体" w:hAnsi="TimesNewRomanPSMT" w:cs="宋体"/>
          <w:kern w:val="0"/>
        </w:rPr>
        <w:t>—</w:t>
      </w:r>
      <w:r>
        <w:rPr>
          <w:rFonts w:ascii="宋体" w:hAnsi="TimesNewRomanPSMT" w:cs="宋体"/>
          <w:kern w:val="0"/>
        </w:rPr>
        <w:t xml:space="preserve">2003 </w:t>
      </w:r>
      <w:r>
        <w:rPr>
          <w:rFonts w:hint="eastAsia" w:ascii="宋体" w:hAnsi="TimesNewRomanPSMT" w:cs="宋体"/>
          <w:kern w:val="0"/>
        </w:rPr>
        <w:t>农药低温稳定性测定方法</w:t>
      </w:r>
    </w:p>
    <w:p>
      <w:pPr>
        <w:autoSpaceDE w:val="0"/>
        <w:autoSpaceDN w:val="0"/>
        <w:spacing w:line="240" w:lineRule="auto"/>
        <w:ind w:firstLine="420"/>
        <w:jc w:val="left"/>
        <w:rPr>
          <w:rFonts w:ascii="宋体" w:hAnsi="TimesNewRomanPSMT" w:cs="宋体"/>
          <w:kern w:val="0"/>
        </w:rPr>
      </w:pPr>
      <w:r>
        <w:rPr>
          <w:rFonts w:ascii="TimesNewRomanPSMT" w:hAnsi="TimesNewRomanPSMT" w:cs="TimesNewRomanPSMT"/>
          <w:kern w:val="0"/>
        </w:rPr>
        <w:t xml:space="preserve">GB/T </w:t>
      </w:r>
      <w:r>
        <w:rPr>
          <w:rFonts w:ascii="宋体" w:hAnsi="TimesNewRomanPSMT" w:cs="宋体"/>
          <w:kern w:val="0"/>
        </w:rPr>
        <w:t xml:space="preserve">28137 </w:t>
      </w:r>
      <w:r>
        <w:rPr>
          <w:rFonts w:hint="eastAsia" w:ascii="宋体" w:hAnsi="TimesNewRomanPSMT" w:cs="宋体"/>
          <w:kern w:val="0"/>
        </w:rPr>
        <w:t>农药持久起泡性测定方法</w:t>
      </w:r>
    </w:p>
    <w:p>
      <w:pPr>
        <w:pStyle w:val="57"/>
        <w:ind w:firstLine="420" w:firstLineChars="0"/>
      </w:pPr>
      <w:r>
        <w:rPr>
          <w:rFonts w:ascii="TimesNewRomanPSMT" w:hAnsi="TimesNewRomanPSMT" w:cs="TimesNewRomanPSMT"/>
        </w:rPr>
        <w:t xml:space="preserve">GB/T </w:t>
      </w:r>
      <w:r>
        <w:rPr>
          <w:rFonts w:hAnsi="TimesNewRomanPSMT" w:cs="宋体"/>
        </w:rPr>
        <w:t xml:space="preserve">31737 </w:t>
      </w:r>
      <w:r>
        <w:rPr>
          <w:rFonts w:hint="eastAsia" w:hAnsi="TimesNewRomanPSMT" w:cs="宋体"/>
        </w:rPr>
        <w:t>农药倾倒性测定方法</w:t>
      </w:r>
    </w:p>
    <w:p>
      <w:pPr>
        <w:pStyle w:val="57"/>
        <w:ind w:firstLine="420"/>
      </w:pPr>
    </w:p>
    <w:p>
      <w:pPr>
        <w:pStyle w:val="105"/>
        <w:spacing w:before="240" w:after="240"/>
        <w:rPr>
          <w:szCs w:val="21"/>
        </w:rPr>
      </w:pPr>
      <w:bookmarkStart w:id="48" w:name="_Toc75767632"/>
      <w:bookmarkStart w:id="49" w:name="_Toc81310503"/>
      <w:bookmarkStart w:id="50" w:name="_Toc81316124"/>
      <w:bookmarkStart w:id="51" w:name="_Toc81040474"/>
      <w:bookmarkStart w:id="52" w:name="_Toc79398764"/>
      <w:bookmarkStart w:id="53" w:name="_Toc80801158"/>
      <w:r>
        <w:rPr>
          <w:rFonts w:hint="eastAsia"/>
          <w:szCs w:val="21"/>
        </w:rPr>
        <w:t>术语和定义</w:t>
      </w:r>
      <w:bookmarkEnd w:id="48"/>
      <w:bookmarkEnd w:id="49"/>
      <w:bookmarkEnd w:id="50"/>
      <w:bookmarkEnd w:id="51"/>
      <w:bookmarkEnd w:id="52"/>
      <w:bookmarkEnd w:id="53"/>
      <w:bookmarkStart w:id="54" w:name="_Toc26986532"/>
      <w:bookmarkEnd w:id="54"/>
    </w:p>
    <w:p>
      <w:pPr>
        <w:pStyle w:val="57"/>
        <w:ind w:firstLine="420"/>
      </w:pPr>
      <w:bookmarkStart w:id="55" w:name="_Toc80801159"/>
      <w:bookmarkStart w:id="56" w:name="_Toc75767633"/>
      <w:bookmarkStart w:id="57" w:name="_Toc81316125"/>
      <w:bookmarkStart w:id="58" w:name="_Toc79398765"/>
      <w:bookmarkStart w:id="59" w:name="_Toc81310504"/>
      <w:bookmarkStart w:id="60" w:name="_Toc81040475"/>
      <w:r>
        <w:rPr>
          <w:rFonts w:hint="eastAsia" w:cs="宋体"/>
        </w:rPr>
        <w:t>本文件没有需要界定的术语和定义。</w:t>
      </w:r>
    </w:p>
    <w:p>
      <w:pPr>
        <w:pStyle w:val="105"/>
        <w:spacing w:before="240" w:after="240"/>
      </w:pPr>
      <w:r>
        <w:rPr>
          <w:rFonts w:hint="eastAsia"/>
        </w:rPr>
        <w:t>基本要求</w:t>
      </w:r>
      <w:bookmarkEnd w:id="55"/>
      <w:bookmarkEnd w:id="56"/>
      <w:bookmarkEnd w:id="57"/>
      <w:bookmarkEnd w:id="58"/>
      <w:bookmarkEnd w:id="59"/>
      <w:bookmarkEnd w:id="60"/>
    </w:p>
    <w:p>
      <w:pPr>
        <w:pStyle w:val="106"/>
        <w:spacing w:before="120" w:after="120"/>
      </w:pPr>
      <w:r>
        <w:rPr>
          <w:rFonts w:hint="eastAsia"/>
        </w:rPr>
        <w:t>设计研发</w:t>
      </w:r>
    </w:p>
    <w:p>
      <w:pPr>
        <w:pStyle w:val="166"/>
        <w:ind w:left="284"/>
      </w:pPr>
      <w:r>
        <w:rPr>
          <w:rFonts w:hint="eastAsia" w:cs="宋体"/>
        </w:rPr>
        <w:t>应具备根据悬浮剂性能指标要求调整原材料及配方组成的能力。</w:t>
      </w:r>
    </w:p>
    <w:p>
      <w:pPr>
        <w:pStyle w:val="166"/>
        <w:ind w:left="284"/>
        <w:rPr>
          <w:rFonts w:cs="宋体"/>
        </w:rPr>
      </w:pPr>
      <w:r>
        <w:rPr>
          <w:rFonts w:hint="eastAsia" w:cs="宋体"/>
        </w:rPr>
        <w:t>应具有自主研发新型杀细菌剂、绿色环保水基化剂型能力。</w:t>
      </w:r>
    </w:p>
    <w:p>
      <w:pPr>
        <w:pStyle w:val="166"/>
        <w:ind w:left="284"/>
        <w:rPr>
          <w:rFonts w:cs="宋体"/>
        </w:rPr>
      </w:pPr>
      <w:r>
        <w:rPr>
          <w:rFonts w:hint="eastAsia" w:cs="宋体"/>
        </w:rPr>
        <w:t>应具有优化悬浮剂的物理热力学稳定性及经时稳定性的能力。</w:t>
      </w:r>
    </w:p>
    <w:p>
      <w:pPr>
        <w:pStyle w:val="106"/>
        <w:spacing w:before="120" w:after="120"/>
      </w:pPr>
      <w:r>
        <w:rPr>
          <w:rFonts w:hint="eastAsia"/>
        </w:rPr>
        <w:t>原材料</w:t>
      </w:r>
    </w:p>
    <w:p>
      <w:pPr>
        <w:pStyle w:val="166"/>
        <w:ind w:left="284"/>
      </w:pPr>
      <w:r>
        <w:rPr>
          <w:rFonts w:hint="eastAsia"/>
        </w:rPr>
        <w:t>吡唑醚菌酯原药应符合表1要求。</w:t>
      </w:r>
    </w:p>
    <w:p>
      <w:pPr>
        <w:pStyle w:val="166"/>
        <w:numPr>
          <w:ilvl w:val="0"/>
          <w:numId w:val="0"/>
        </w:numPr>
        <w:spacing w:before="120" w:beforeLines="50" w:after="120" w:afterLines="50"/>
        <w:jc w:val="center"/>
        <w:rPr>
          <w:rFonts w:cs="宋体"/>
        </w:rPr>
      </w:pPr>
      <w:r>
        <w:rPr>
          <w:rFonts w:hint="eastAsia" w:cs="宋体"/>
        </w:rPr>
        <w:t>表1 吡唑醚菌酯</w:t>
      </w:r>
      <w:r>
        <w:rPr>
          <w:rFonts w:hint="eastAsia" w:cs="宋体"/>
          <w:lang w:val="en-US" w:eastAsia="zh-CN"/>
        </w:rPr>
        <w:t>原药</w:t>
      </w:r>
      <w:r>
        <w:rPr>
          <w:rFonts w:hint="eastAsia" w:cs="宋体"/>
        </w:rPr>
        <w:t>控制项目指标</w:t>
      </w:r>
    </w:p>
    <w:tbl>
      <w:tblPr>
        <w:tblStyle w:val="27"/>
        <w:tblW w:w="5000"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3"/>
        <w:gridCol w:w="3289"/>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2922" w:type="dxa"/>
            <w:vAlign w:val="center"/>
          </w:tcPr>
          <w:p>
            <w:pPr>
              <w:ind w:firstLine="1260" w:firstLineChars="700"/>
              <w:rPr>
                <w:rFonts w:ascii="Times New Roman" w:hAnsi="Times New Roman"/>
                <w:color w:val="000000"/>
                <w:sz w:val="18"/>
              </w:rPr>
            </w:pPr>
            <w:r>
              <w:rPr>
                <w:rFonts w:ascii="Times New Roman" w:hAnsi="Times New Roman"/>
                <w:color w:val="000000"/>
                <w:sz w:val="18"/>
              </w:rPr>
              <w:t>项  　　 目</w:t>
            </w:r>
          </w:p>
        </w:tc>
        <w:tc>
          <w:tcPr>
            <w:tcW w:w="3211" w:type="dxa"/>
            <w:vAlign w:val="center"/>
          </w:tcPr>
          <w:p>
            <w:pPr>
              <w:jc w:val="center"/>
              <w:rPr>
                <w:rFonts w:ascii="Times New Roman" w:hAnsi="Times New Roman"/>
                <w:color w:val="000000"/>
                <w:sz w:val="18"/>
              </w:rPr>
            </w:pPr>
            <w:r>
              <w:rPr>
                <w:rFonts w:ascii="Times New Roman" w:hAnsi="Times New Roman"/>
                <w:color w:val="000000"/>
                <w:sz w:val="18"/>
              </w:rPr>
              <w:t>指  　　 标</w:t>
            </w:r>
          </w:p>
        </w:tc>
        <w:tc>
          <w:tcPr>
            <w:tcW w:w="3211" w:type="dxa"/>
            <w:vAlign w:val="center"/>
          </w:tcPr>
          <w:p>
            <w:pPr>
              <w:jc w:val="center"/>
              <w:rPr>
                <w:rFonts w:ascii="Times New Roman" w:hAnsi="Times New Roman"/>
                <w:color w:val="000000"/>
                <w:sz w:val="18"/>
              </w:rPr>
            </w:pPr>
            <w:r>
              <w:rPr>
                <w:rFonts w:hint="eastAsia" w:ascii="Times New Roman" w:hAnsi="Times New Roman"/>
                <w:color w:val="000000"/>
                <w:sz w:val="18"/>
              </w:rPr>
              <w:t>测定方法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2922" w:type="dxa"/>
            <w:vAlign w:val="center"/>
          </w:tcPr>
          <w:p>
            <w:pPr>
              <w:rPr>
                <w:rFonts w:ascii="Times New Roman" w:hAnsi="Times New Roman"/>
                <w:color w:val="000000"/>
                <w:sz w:val="18"/>
                <w:szCs w:val="18"/>
              </w:rPr>
            </w:pPr>
            <w:r>
              <w:rPr>
                <w:rFonts w:hint="eastAsia" w:ascii="Times New Roman" w:hAnsi="Times New Roman"/>
                <w:color w:val="000000"/>
                <w:sz w:val="18"/>
                <w:szCs w:val="18"/>
              </w:rPr>
              <w:t>吡唑醚菌酯</w:t>
            </w:r>
            <w:r>
              <w:rPr>
                <w:rFonts w:ascii="Times New Roman" w:hAnsi="Times New Roman"/>
                <w:color w:val="000000"/>
                <w:sz w:val="18"/>
                <w:szCs w:val="18"/>
              </w:rPr>
              <w:t>质量</w:t>
            </w:r>
            <w:r>
              <w:rPr>
                <w:rFonts w:hint="eastAsia" w:ascii="Times New Roman" w:hAnsi="Times New Roman"/>
                <w:color w:val="000000"/>
                <w:sz w:val="18"/>
                <w:szCs w:val="18"/>
              </w:rPr>
              <w:t>分数/%</w:t>
            </w:r>
          </w:p>
        </w:tc>
        <w:tc>
          <w:tcPr>
            <w:tcW w:w="3211" w:type="dxa"/>
            <w:vAlign w:val="center"/>
          </w:tcPr>
          <w:p>
            <w:pPr>
              <w:jc w:val="center"/>
              <w:rPr>
                <w:rFonts w:ascii="宋体" w:hAnsi="宋体"/>
                <w:color w:val="000000"/>
                <w:sz w:val="18"/>
                <w:szCs w:val="18"/>
              </w:rPr>
            </w:pPr>
            <w:r>
              <w:rPr>
                <w:rFonts w:hint="eastAsia" w:ascii="宋体" w:hAnsi="宋体"/>
                <w:color w:val="000000"/>
                <w:sz w:val="18"/>
                <w:szCs w:val="18"/>
              </w:rPr>
              <w:t>≥</w:t>
            </w:r>
            <w:r>
              <w:rPr>
                <w:rFonts w:ascii="宋体" w:hAnsi="宋体"/>
                <w:color w:val="000000"/>
                <w:sz w:val="18"/>
                <w:szCs w:val="18"/>
              </w:rPr>
              <w:t>97.5</w:t>
            </w:r>
          </w:p>
        </w:tc>
        <w:tc>
          <w:tcPr>
            <w:tcW w:w="3211" w:type="dxa"/>
            <w:vMerge w:val="restart"/>
            <w:vAlign w:val="center"/>
          </w:tcPr>
          <w:p>
            <w:pPr>
              <w:jc w:val="center"/>
              <w:rPr>
                <w:rFonts w:hint="eastAsia" w:ascii="宋体" w:hAnsi="宋体"/>
                <w:color w:val="000000"/>
                <w:sz w:val="18"/>
                <w:szCs w:val="18"/>
              </w:rPr>
            </w:pPr>
            <w:r>
              <w:rPr>
                <w:rFonts w:hint="eastAsia" w:ascii="宋体" w:hAnsi="宋体"/>
                <w:color w:val="000000"/>
                <w:sz w:val="18"/>
                <w:szCs w:val="18"/>
              </w:rPr>
              <w:t>H</w:t>
            </w:r>
            <w:r>
              <w:rPr>
                <w:rFonts w:ascii="宋体" w:hAnsi="宋体"/>
                <w:color w:val="000000"/>
                <w:sz w:val="18"/>
                <w:szCs w:val="18"/>
              </w:rPr>
              <w:t>G/T 5235-2017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2922" w:type="dxa"/>
            <w:vAlign w:val="center"/>
          </w:tcPr>
          <w:p>
            <w:pPr>
              <w:tabs>
                <w:tab w:val="left" w:pos="3618"/>
              </w:tabs>
              <w:rPr>
                <w:rFonts w:ascii="Times New Roman" w:hAnsi="Times New Roman"/>
                <w:color w:val="000000"/>
                <w:sz w:val="18"/>
              </w:rPr>
            </w:pPr>
            <w:r>
              <w:rPr>
                <w:rFonts w:hint="eastAsia" w:ascii="Times New Roman" w:hAnsi="Times New Roman"/>
                <w:color w:val="000000"/>
                <w:sz w:val="18"/>
              </w:rPr>
              <w:t>硫酸二甲酯质量分数/（mg</w:t>
            </w:r>
            <w:r>
              <w:rPr>
                <w:rFonts w:ascii="Times New Roman" w:hAnsi="Times New Roman"/>
                <w:color w:val="000000"/>
                <w:sz w:val="18"/>
              </w:rPr>
              <w:t>/kg</w:t>
            </w:r>
            <w:r>
              <w:rPr>
                <w:rFonts w:hint="eastAsia" w:ascii="Times New Roman" w:hAnsi="Times New Roman"/>
                <w:color w:val="000000"/>
                <w:sz w:val="18"/>
              </w:rPr>
              <w:t>）</w:t>
            </w:r>
          </w:p>
        </w:tc>
        <w:tc>
          <w:tcPr>
            <w:tcW w:w="3211" w:type="dxa"/>
            <w:vAlign w:val="center"/>
          </w:tcPr>
          <w:p>
            <w:pPr>
              <w:jc w:val="center"/>
              <w:rPr>
                <w:rFonts w:ascii="宋体" w:hAnsi="宋体"/>
                <w:color w:val="000000"/>
                <w:sz w:val="18"/>
                <w:szCs w:val="18"/>
              </w:rPr>
            </w:pPr>
            <w:r>
              <w:rPr>
                <w:rFonts w:ascii="宋体" w:hAnsi="宋体"/>
                <w:color w:val="000000"/>
                <w:sz w:val="18"/>
              </w:rPr>
              <w:t>≤</w:t>
            </w:r>
            <w:r>
              <w:rPr>
                <w:rFonts w:ascii="宋体" w:hAnsi="宋体"/>
                <w:color w:val="000000"/>
                <w:sz w:val="18"/>
                <w:szCs w:val="18"/>
              </w:rPr>
              <w:t>3</w:t>
            </w:r>
          </w:p>
        </w:tc>
        <w:tc>
          <w:tcPr>
            <w:tcW w:w="3211" w:type="dxa"/>
            <w:vMerge w:val="continue"/>
            <w:vAlign w:val="center"/>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2922" w:type="dxa"/>
            <w:vAlign w:val="center"/>
          </w:tcPr>
          <w:p>
            <w:pPr>
              <w:tabs>
                <w:tab w:val="left" w:pos="3618"/>
              </w:tabs>
              <w:rPr>
                <w:rFonts w:ascii="Times New Roman" w:hAnsi="Times New Roman"/>
                <w:color w:val="000000"/>
                <w:sz w:val="18"/>
              </w:rPr>
            </w:pPr>
            <w:r>
              <w:rPr>
                <w:rFonts w:hint="eastAsia" w:ascii="Times New Roman" w:hAnsi="Times New Roman"/>
                <w:color w:val="000000"/>
                <w:sz w:val="18"/>
              </w:rPr>
              <w:t>水分/</w:t>
            </w:r>
            <w:r>
              <w:rPr>
                <w:rFonts w:ascii="Times New Roman" w:hAnsi="Times New Roman"/>
                <w:color w:val="000000"/>
                <w:sz w:val="18"/>
              </w:rPr>
              <w:t>%</w:t>
            </w:r>
          </w:p>
        </w:tc>
        <w:tc>
          <w:tcPr>
            <w:tcW w:w="3211" w:type="dxa"/>
            <w:vAlign w:val="center"/>
          </w:tcPr>
          <w:p>
            <w:pPr>
              <w:jc w:val="center"/>
              <w:rPr>
                <w:rFonts w:ascii="宋体" w:hAnsi="宋体"/>
                <w:color w:val="000000"/>
                <w:sz w:val="18"/>
                <w:szCs w:val="18"/>
              </w:rPr>
            </w:pPr>
            <w:r>
              <w:rPr>
                <w:rFonts w:ascii="宋体" w:hAnsi="宋体"/>
                <w:color w:val="000000"/>
                <w:sz w:val="18"/>
              </w:rPr>
              <w:t>≤</w:t>
            </w:r>
            <w:r>
              <w:rPr>
                <w:rFonts w:ascii="宋体" w:hAnsi="宋体"/>
                <w:color w:val="000000"/>
                <w:sz w:val="18"/>
                <w:szCs w:val="18"/>
              </w:rPr>
              <w:t>0.5</w:t>
            </w:r>
          </w:p>
        </w:tc>
        <w:tc>
          <w:tcPr>
            <w:tcW w:w="3211" w:type="dxa"/>
            <w:vMerge w:val="continue"/>
            <w:vAlign w:val="center"/>
          </w:tcPr>
          <w:p>
            <w:pPr>
              <w:jc w:val="center"/>
              <w:rPr>
                <w:rFonts w:ascii="宋体" w:hAnsi="宋体"/>
                <w:color w:val="000000"/>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2922" w:type="dxa"/>
            <w:vAlign w:val="center"/>
          </w:tcPr>
          <w:p>
            <w:pPr>
              <w:tabs>
                <w:tab w:val="left" w:pos="3618"/>
              </w:tabs>
              <w:rPr>
                <w:rFonts w:ascii="Times New Roman" w:hAnsi="Times New Roman"/>
                <w:color w:val="000000"/>
                <w:sz w:val="18"/>
              </w:rPr>
            </w:pPr>
            <w:r>
              <w:rPr>
                <w:rFonts w:ascii="Times New Roman" w:hAnsi="Times New Roman"/>
                <w:color w:val="000000"/>
                <w:sz w:val="18"/>
              </w:rPr>
              <w:t>pH值</w:t>
            </w:r>
          </w:p>
        </w:tc>
        <w:tc>
          <w:tcPr>
            <w:tcW w:w="3211" w:type="dxa"/>
            <w:vAlign w:val="center"/>
          </w:tcPr>
          <w:p>
            <w:pPr>
              <w:jc w:val="center"/>
              <w:rPr>
                <w:rFonts w:ascii="宋体" w:hAnsi="宋体"/>
                <w:color w:val="000000"/>
                <w:sz w:val="18"/>
                <w:szCs w:val="18"/>
              </w:rPr>
            </w:pPr>
            <w:r>
              <w:rPr>
                <w:rFonts w:ascii="宋体" w:hAnsi="宋体"/>
                <w:color w:val="000000"/>
                <w:sz w:val="18"/>
                <w:szCs w:val="18"/>
              </w:rPr>
              <w:t>5.0～8.0</w:t>
            </w:r>
          </w:p>
        </w:tc>
        <w:tc>
          <w:tcPr>
            <w:tcW w:w="3211" w:type="dxa"/>
            <w:vMerge w:val="continue"/>
            <w:vAlign w:val="center"/>
          </w:tcPr>
          <w:p>
            <w:pPr>
              <w:jc w:val="center"/>
              <w:rPr>
                <w:rFonts w:ascii="宋体" w:hAnsi="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2922" w:type="dxa"/>
            <w:vAlign w:val="center"/>
          </w:tcPr>
          <w:p>
            <w:pPr>
              <w:tabs>
                <w:tab w:val="left" w:pos="3618"/>
              </w:tabs>
              <w:rPr>
                <w:rFonts w:ascii="Times New Roman" w:hAnsi="Times New Roman"/>
                <w:color w:val="000000"/>
                <w:sz w:val="18"/>
              </w:rPr>
            </w:pPr>
            <w:r>
              <w:rPr>
                <w:rFonts w:hint="eastAsia" w:ascii="Times New Roman" w:hAnsi="Times New Roman"/>
                <w:color w:val="000000"/>
                <w:sz w:val="18"/>
              </w:rPr>
              <w:t>丙酮不溶物/</w:t>
            </w:r>
            <w:r>
              <w:rPr>
                <w:rFonts w:ascii="Times New Roman" w:hAnsi="Times New Roman"/>
                <w:color w:val="000000"/>
                <w:sz w:val="18"/>
              </w:rPr>
              <w:t>%</w:t>
            </w:r>
          </w:p>
        </w:tc>
        <w:tc>
          <w:tcPr>
            <w:tcW w:w="3211" w:type="dxa"/>
            <w:vAlign w:val="center"/>
          </w:tcPr>
          <w:p>
            <w:pPr>
              <w:jc w:val="center"/>
              <w:rPr>
                <w:rFonts w:ascii="宋体" w:hAnsi="宋体"/>
                <w:color w:val="000000"/>
                <w:sz w:val="18"/>
                <w:szCs w:val="18"/>
              </w:rPr>
            </w:pPr>
            <w:r>
              <w:rPr>
                <w:rFonts w:ascii="宋体" w:hAnsi="宋体"/>
                <w:color w:val="000000"/>
                <w:sz w:val="18"/>
              </w:rPr>
              <w:t>≤</w:t>
            </w:r>
            <w:r>
              <w:rPr>
                <w:rFonts w:ascii="宋体" w:hAnsi="宋体"/>
                <w:color w:val="000000"/>
                <w:sz w:val="18"/>
                <w:szCs w:val="18"/>
              </w:rPr>
              <w:t>0.2</w:t>
            </w:r>
          </w:p>
        </w:tc>
        <w:tc>
          <w:tcPr>
            <w:tcW w:w="3211" w:type="dxa"/>
            <w:vMerge w:val="continue"/>
            <w:vAlign w:val="center"/>
          </w:tcPr>
          <w:p>
            <w:pPr>
              <w:jc w:val="center"/>
              <w:rPr>
                <w:rFonts w:ascii="宋体" w:hAnsi="宋体"/>
                <w:color w:val="000000"/>
                <w:sz w:val="18"/>
              </w:rPr>
            </w:pPr>
          </w:p>
        </w:tc>
      </w:tr>
    </w:tbl>
    <w:p>
      <w:pPr>
        <w:pStyle w:val="106"/>
        <w:spacing w:before="120" w:after="120"/>
      </w:pPr>
      <w:r>
        <w:rPr>
          <w:rFonts w:hint="eastAsia"/>
        </w:rPr>
        <w:t>工艺设备</w:t>
      </w:r>
    </w:p>
    <w:p>
      <w:pPr>
        <w:pStyle w:val="166"/>
        <w:ind w:left="284"/>
      </w:pPr>
      <w:r>
        <w:rPr>
          <w:rFonts w:hint="eastAsia" w:cs="宋体"/>
        </w:rPr>
        <w:t>剪切、砂磨过程应采用双螺带</w:t>
      </w:r>
      <w:r>
        <w:rPr>
          <w:rFonts w:cs="宋体"/>
        </w:rPr>
        <w:t>-</w:t>
      </w:r>
      <w:r>
        <w:rPr>
          <w:rFonts w:hint="eastAsia" w:cs="宋体"/>
        </w:rPr>
        <w:t>剪切搅拌和湿法砂磨加工工艺。</w:t>
      </w:r>
    </w:p>
    <w:p>
      <w:pPr>
        <w:pStyle w:val="166"/>
        <w:ind w:left="284"/>
        <w:rPr>
          <w:rFonts w:cs="宋体"/>
        </w:rPr>
      </w:pPr>
      <w:r>
        <w:rPr>
          <w:rFonts w:hint="eastAsia" w:cs="宋体"/>
        </w:rPr>
        <w:t>剪切及砂磨全程系统温度不应超过</w:t>
      </w:r>
      <w:r>
        <w:rPr>
          <w:rFonts w:cs="宋体"/>
        </w:rPr>
        <w:t>40</w:t>
      </w:r>
      <w:r>
        <w:rPr>
          <w:rFonts w:hint="eastAsia" w:cs="宋体"/>
        </w:rPr>
        <w:t>℃，砂磨物料粒径累计分布</w:t>
      </w:r>
      <w:r>
        <w:rPr>
          <w:rFonts w:cs="宋体"/>
        </w:rPr>
        <w:t xml:space="preserve">D90 </w:t>
      </w:r>
      <w:r>
        <w:rPr>
          <w:rFonts w:hint="eastAsia" w:cs="宋体"/>
        </w:rPr>
        <w:t>不应大于</w:t>
      </w:r>
      <w:r>
        <w:rPr>
          <w:rFonts w:cs="宋体"/>
        </w:rPr>
        <w:t>3.0 μm</w:t>
      </w:r>
      <w:r>
        <w:rPr>
          <w:rFonts w:hint="eastAsia" w:cs="宋体"/>
        </w:rPr>
        <w:t>。</w:t>
      </w:r>
    </w:p>
    <w:p>
      <w:pPr>
        <w:pStyle w:val="166"/>
        <w:ind w:left="284"/>
        <w:rPr>
          <w:rFonts w:cs="宋体"/>
        </w:rPr>
      </w:pPr>
      <w:r>
        <w:rPr>
          <w:rFonts w:hint="eastAsia" w:cs="宋体"/>
        </w:rPr>
        <w:t>预混合、剪切、砂磨、灌装等工序应密闭化、连续化，砂磨工序应在线实时监控，灌装生产线应采用全自动化生产线。</w:t>
      </w:r>
    </w:p>
    <w:p>
      <w:pPr>
        <w:pStyle w:val="106"/>
        <w:spacing w:before="120" w:after="120"/>
      </w:pPr>
      <w:r>
        <w:rPr>
          <w:rFonts w:hint="eastAsia"/>
        </w:rPr>
        <w:t>检验检测</w:t>
      </w:r>
    </w:p>
    <w:p>
      <w:pPr>
        <w:pStyle w:val="166"/>
        <w:ind w:left="284"/>
      </w:pPr>
      <w:r>
        <w:rPr>
          <w:rFonts w:hint="eastAsia" w:cs="宋体"/>
        </w:rPr>
        <w:t>应具备表</w:t>
      </w:r>
      <w:r>
        <w:rPr>
          <w:rFonts w:cs="宋体"/>
        </w:rPr>
        <w:t xml:space="preserve">1 </w:t>
      </w:r>
      <w:r>
        <w:rPr>
          <w:rFonts w:hint="eastAsia" w:cs="宋体"/>
        </w:rPr>
        <w:t>规定项目的检测能力。</w:t>
      </w:r>
    </w:p>
    <w:p>
      <w:pPr>
        <w:pStyle w:val="166"/>
        <w:ind w:left="284"/>
        <w:rPr>
          <w:rFonts w:cs="宋体"/>
        </w:rPr>
      </w:pPr>
      <w:r>
        <w:rPr>
          <w:rFonts w:hint="eastAsia" w:cs="宋体"/>
        </w:rPr>
        <w:t>应具备表</w:t>
      </w:r>
      <w:r>
        <w:rPr>
          <w:rFonts w:cs="宋体"/>
        </w:rPr>
        <w:t xml:space="preserve">2 </w:t>
      </w:r>
      <w:r>
        <w:rPr>
          <w:rFonts w:hint="eastAsia" w:cs="宋体"/>
        </w:rPr>
        <w:t>规定项目的检测能力。</w:t>
      </w:r>
    </w:p>
    <w:p>
      <w:pPr>
        <w:pStyle w:val="105"/>
        <w:spacing w:before="240" w:after="240"/>
      </w:pPr>
      <w:bookmarkStart w:id="61" w:name="_Toc80801160"/>
      <w:bookmarkStart w:id="62" w:name="_Toc75767634"/>
      <w:bookmarkStart w:id="63" w:name="_Toc81316126"/>
      <w:bookmarkStart w:id="64" w:name="_Toc81040476"/>
      <w:bookmarkStart w:id="65" w:name="_Toc79398766"/>
      <w:bookmarkStart w:id="66" w:name="_Toc81310505"/>
      <w:r>
        <w:rPr>
          <w:rFonts w:hint="eastAsia"/>
        </w:rPr>
        <w:t>技术要求</w:t>
      </w:r>
      <w:bookmarkEnd w:id="61"/>
      <w:bookmarkEnd w:id="62"/>
      <w:bookmarkEnd w:id="63"/>
      <w:bookmarkEnd w:id="64"/>
      <w:bookmarkEnd w:id="65"/>
      <w:bookmarkEnd w:id="66"/>
    </w:p>
    <w:p>
      <w:pPr>
        <w:pStyle w:val="106"/>
        <w:spacing w:before="120" w:after="120"/>
      </w:pPr>
      <w:r>
        <w:rPr>
          <w:rFonts w:hint="eastAsia"/>
        </w:rPr>
        <w:t>外观</w:t>
      </w:r>
    </w:p>
    <w:p>
      <w:pPr>
        <w:pStyle w:val="57"/>
        <w:ind w:firstLine="420"/>
        <w:rPr>
          <w:rFonts w:cs="宋体"/>
        </w:rPr>
      </w:pPr>
      <w:r>
        <w:rPr>
          <w:rFonts w:hint="eastAsia" w:cs="宋体"/>
        </w:rPr>
        <w:t>应是可流动、易测量体积的悬浮液体。存放过程中可能出现沉淀，但经手摇动，应恢复原状，不应有结块。</w:t>
      </w:r>
    </w:p>
    <w:p>
      <w:pPr>
        <w:pStyle w:val="106"/>
        <w:spacing w:before="120" w:after="120"/>
        <w:ind w:left="0"/>
      </w:pPr>
      <w:r>
        <w:rPr>
          <w:rFonts w:hint="eastAsia"/>
        </w:rPr>
        <w:t>技术指标</w:t>
      </w:r>
    </w:p>
    <w:p>
      <w:pPr>
        <w:pStyle w:val="166"/>
        <w:numPr>
          <w:ilvl w:val="0"/>
          <w:numId w:val="0"/>
        </w:numPr>
        <w:spacing w:before="120" w:beforeLines="50" w:after="120" w:afterLines="50"/>
        <w:rPr>
          <w:rFonts w:cs="宋体"/>
        </w:rPr>
      </w:pPr>
      <w:bookmarkStart w:id="67" w:name="_Toc50559083"/>
      <w:bookmarkStart w:id="68" w:name="_Toc80801161"/>
      <w:bookmarkStart w:id="69" w:name="_Toc50550124"/>
      <w:bookmarkStart w:id="70" w:name="_Toc79398767"/>
      <w:bookmarkStart w:id="71" w:name="_Toc43816170"/>
      <w:bookmarkStart w:id="72" w:name="_Toc50550151"/>
      <w:bookmarkStart w:id="73" w:name="_Toc55823818"/>
      <w:bookmarkStart w:id="74" w:name="_Toc81316127"/>
      <w:bookmarkStart w:id="75" w:name="_Toc56421305"/>
      <w:bookmarkStart w:id="76" w:name="_Toc81040477"/>
      <w:bookmarkStart w:id="77" w:name="_Toc81310506"/>
      <w:bookmarkStart w:id="78" w:name="_Toc56456271"/>
      <w:bookmarkStart w:id="79" w:name="_Toc55826609"/>
      <w:bookmarkStart w:id="80" w:name="_Toc50550611"/>
      <w:bookmarkStart w:id="81" w:name="_Toc75767635"/>
      <w:bookmarkStart w:id="82" w:name="_Toc50558681"/>
      <w:bookmarkStart w:id="83" w:name="_Toc56420227"/>
      <w:r>
        <w:rPr>
          <w:rFonts w:hint="eastAsia" w:cs="宋体"/>
        </w:rPr>
        <w:t>吡唑醚菌酯悬浮剂应符合表</w:t>
      </w:r>
      <w:r>
        <w:rPr>
          <w:rFonts w:cs="宋体"/>
        </w:rPr>
        <w:t>2</w:t>
      </w:r>
      <w:r>
        <w:rPr>
          <w:rFonts w:hint="eastAsia" w:cs="宋体"/>
        </w:rPr>
        <w:t>要求。</w:t>
      </w:r>
    </w:p>
    <w:p>
      <w:pPr>
        <w:pStyle w:val="166"/>
        <w:numPr>
          <w:ilvl w:val="0"/>
          <w:numId w:val="0"/>
        </w:numPr>
        <w:spacing w:before="120" w:beforeLines="50" w:after="120" w:afterLines="50"/>
        <w:jc w:val="center"/>
        <w:rPr>
          <w:rFonts w:cs="宋体"/>
        </w:rPr>
      </w:pPr>
      <w:r>
        <w:rPr>
          <w:rFonts w:hint="eastAsia" w:cs="宋体"/>
        </w:rPr>
        <w:t>表</w:t>
      </w:r>
      <w:r>
        <w:rPr>
          <w:rFonts w:cs="宋体"/>
        </w:rPr>
        <w:t>2</w:t>
      </w:r>
      <w:r>
        <w:rPr>
          <w:rFonts w:hint="eastAsia" w:cs="宋体"/>
        </w:rPr>
        <w:t xml:space="preserve"> 吡唑醚菌酯悬浮剂控制项目指标</w:t>
      </w:r>
    </w:p>
    <w:tbl>
      <w:tblPr>
        <w:tblStyle w:val="27"/>
        <w:tblW w:w="95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3387"/>
        <w:gridCol w:w="1444"/>
        <w:gridCol w:w="1777"/>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Merge w:val="restart"/>
            <w:vAlign w:val="center"/>
          </w:tcPr>
          <w:p>
            <w:pPr>
              <w:ind w:firstLine="1260" w:firstLineChars="700"/>
              <w:rPr>
                <w:rFonts w:ascii="Times New Roman" w:hAnsi="Times New Roman"/>
                <w:color w:val="000000"/>
                <w:sz w:val="18"/>
              </w:rPr>
            </w:pPr>
            <w:r>
              <w:rPr>
                <w:rFonts w:ascii="Times New Roman" w:hAnsi="Times New Roman"/>
                <w:color w:val="000000"/>
                <w:sz w:val="18"/>
              </w:rPr>
              <w:t>项  　　 目</w:t>
            </w:r>
          </w:p>
        </w:tc>
        <w:tc>
          <w:tcPr>
            <w:tcW w:w="5013" w:type="dxa"/>
            <w:gridSpan w:val="3"/>
            <w:vAlign w:val="center"/>
          </w:tcPr>
          <w:p>
            <w:pPr>
              <w:jc w:val="center"/>
              <w:rPr>
                <w:rFonts w:ascii="Times New Roman" w:hAnsi="Times New Roman"/>
                <w:color w:val="000000"/>
                <w:sz w:val="18"/>
              </w:rPr>
            </w:pPr>
            <w:r>
              <w:rPr>
                <w:rFonts w:ascii="Times New Roman" w:hAnsi="Times New Roman"/>
                <w:color w:val="000000"/>
                <w:sz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Merge w:val="continue"/>
            <w:vAlign w:val="center"/>
          </w:tcPr>
          <w:p>
            <w:pPr>
              <w:ind w:firstLine="1260" w:firstLineChars="700"/>
              <w:rPr>
                <w:rFonts w:ascii="Times New Roman" w:hAnsi="Times New Roman"/>
                <w:color w:val="000000"/>
                <w:sz w:val="18"/>
              </w:rPr>
            </w:pPr>
          </w:p>
        </w:tc>
        <w:tc>
          <w:tcPr>
            <w:tcW w:w="1444" w:type="dxa"/>
            <w:vAlign w:val="center"/>
          </w:tcPr>
          <w:p>
            <w:pPr>
              <w:jc w:val="center"/>
              <w:rPr>
                <w:rFonts w:hint="eastAsia" w:ascii="宋体" w:hAnsi="宋体" w:eastAsia="宋体" w:cs="宋体"/>
                <w:color w:val="000000"/>
                <w:sz w:val="18"/>
                <w:lang w:val="en-US" w:eastAsia="zh-CN"/>
              </w:rPr>
            </w:pPr>
            <w:r>
              <w:rPr>
                <w:rFonts w:hint="eastAsia" w:ascii="宋体" w:hAnsi="宋体" w:eastAsia="宋体" w:cs="宋体"/>
                <w:color w:val="000000"/>
                <w:sz w:val="18"/>
                <w:lang w:val="en-US" w:eastAsia="zh-CN"/>
              </w:rPr>
              <w:t>20%</w:t>
            </w:r>
          </w:p>
        </w:tc>
        <w:tc>
          <w:tcPr>
            <w:tcW w:w="1777" w:type="dxa"/>
            <w:vAlign w:val="center"/>
          </w:tcPr>
          <w:p>
            <w:pPr>
              <w:jc w:val="center"/>
              <w:rPr>
                <w:rFonts w:hint="eastAsia" w:ascii="宋体" w:hAnsi="宋体" w:eastAsia="宋体" w:cs="宋体"/>
                <w:color w:val="000000"/>
                <w:sz w:val="18"/>
                <w:lang w:val="en-US" w:eastAsia="zh-CN"/>
              </w:rPr>
            </w:pPr>
            <w:r>
              <w:rPr>
                <w:rFonts w:hint="eastAsia" w:ascii="宋体" w:hAnsi="宋体" w:eastAsia="宋体" w:cs="宋体"/>
                <w:color w:val="000000"/>
                <w:sz w:val="18"/>
                <w:lang w:val="en-US" w:eastAsia="zh-CN"/>
              </w:rPr>
              <w:t>25%</w:t>
            </w:r>
          </w:p>
        </w:tc>
        <w:tc>
          <w:tcPr>
            <w:tcW w:w="1792" w:type="dxa"/>
            <w:vAlign w:val="center"/>
          </w:tcPr>
          <w:p>
            <w:pPr>
              <w:jc w:val="center"/>
              <w:rPr>
                <w:rFonts w:hint="eastAsia" w:ascii="宋体" w:hAnsi="宋体" w:eastAsia="宋体" w:cs="宋体"/>
                <w:color w:val="000000"/>
                <w:sz w:val="18"/>
                <w:lang w:val="en-US" w:eastAsia="zh-CN"/>
              </w:rPr>
            </w:pPr>
            <w:r>
              <w:rPr>
                <w:rFonts w:hint="eastAsia" w:ascii="宋体" w:hAnsi="宋体" w:eastAsia="宋体" w:cs="宋体"/>
                <w:color w:val="000000"/>
                <w:sz w:val="1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Align w:val="center"/>
          </w:tcPr>
          <w:p>
            <w:pPr>
              <w:rPr>
                <w:rFonts w:ascii="Times New Roman" w:hAnsi="Times New Roman"/>
                <w:color w:val="000000"/>
                <w:sz w:val="18"/>
                <w:szCs w:val="18"/>
              </w:rPr>
            </w:pPr>
            <w:r>
              <w:rPr>
                <w:rFonts w:hint="eastAsia" w:ascii="Times New Roman" w:hAnsi="Times New Roman"/>
                <w:color w:val="000000"/>
                <w:sz w:val="18"/>
                <w:szCs w:val="18"/>
              </w:rPr>
              <w:t>吡唑醚菌酯</w:t>
            </w:r>
            <w:r>
              <w:rPr>
                <w:rFonts w:ascii="Times New Roman" w:hAnsi="Times New Roman"/>
                <w:color w:val="000000"/>
                <w:sz w:val="18"/>
                <w:szCs w:val="18"/>
              </w:rPr>
              <w:t>质量</w:t>
            </w:r>
            <w:r>
              <w:rPr>
                <w:rFonts w:hint="eastAsia" w:ascii="Times New Roman" w:hAnsi="Times New Roman"/>
                <w:color w:val="000000"/>
                <w:sz w:val="18"/>
                <w:szCs w:val="18"/>
              </w:rPr>
              <w:t>分数/%</w:t>
            </w:r>
          </w:p>
        </w:tc>
        <w:tc>
          <w:tcPr>
            <w:tcW w:w="1444" w:type="dxa"/>
            <w:vAlign w:val="center"/>
          </w:tcPr>
          <w:p>
            <w:pPr>
              <w:jc w:val="center"/>
              <w:rPr>
                <w:rFonts w:hint="eastAsia" w:ascii="宋体" w:hAnsi="宋体" w:eastAsia="宋体"/>
                <w:color w:val="000000"/>
                <w:sz w:val="18"/>
                <w:szCs w:val="18"/>
                <w:vertAlign w:val="subscript"/>
                <w:lang w:val="en-US" w:eastAsia="zh-CN"/>
              </w:rPr>
            </w:pPr>
            <w:r>
              <w:rPr>
                <w:rFonts w:hint="eastAsia" w:ascii="宋体" w:hAnsi="宋体"/>
                <w:color w:val="000000"/>
                <w:sz w:val="18"/>
                <w:szCs w:val="18"/>
              </w:rPr>
              <w:t>2</w:t>
            </w:r>
            <w:r>
              <w:rPr>
                <w:rFonts w:hint="eastAsia" w:ascii="宋体" w:hAnsi="宋体"/>
                <w:color w:val="000000"/>
                <w:sz w:val="18"/>
                <w:szCs w:val="18"/>
                <w:lang w:val="en-US" w:eastAsia="zh-CN"/>
              </w:rPr>
              <w:t>0</w:t>
            </w:r>
            <w:r>
              <w:rPr>
                <w:rFonts w:ascii="宋体" w:hAnsi="宋体"/>
                <w:color w:val="000000"/>
                <w:sz w:val="18"/>
                <w:szCs w:val="18"/>
              </w:rPr>
              <w:t>.0</w:t>
            </w:r>
            <w:r>
              <w:rPr>
                <w:rFonts w:hint="eastAsia" w:ascii="宋体" w:hAnsi="宋体"/>
                <w:color w:val="000000"/>
                <w:sz w:val="18"/>
                <w:szCs w:val="18"/>
                <w:lang w:eastAsia="zh-CN"/>
                <w:eastAsianLayout w:id="40" w:combine="1"/>
              </w:rPr>
              <w:t>+1.2 -1.2</w:t>
            </w:r>
          </w:p>
        </w:tc>
        <w:tc>
          <w:tcPr>
            <w:tcW w:w="1777" w:type="dxa"/>
            <w:vAlign w:val="center"/>
          </w:tcPr>
          <w:p>
            <w:pPr>
              <w:jc w:val="center"/>
              <w:rPr>
                <w:rFonts w:hint="eastAsia" w:ascii="宋体" w:hAnsi="宋体"/>
                <w:color w:val="000000"/>
                <w:sz w:val="18"/>
                <w:szCs w:val="18"/>
              </w:rPr>
            </w:pPr>
            <w:r>
              <w:rPr>
                <w:rFonts w:hint="eastAsia" w:ascii="宋体" w:hAnsi="宋体"/>
                <w:color w:val="000000"/>
                <w:sz w:val="18"/>
                <w:szCs w:val="18"/>
              </w:rPr>
              <w:t>2</w:t>
            </w:r>
            <w:r>
              <w:rPr>
                <w:rFonts w:ascii="宋体" w:hAnsi="宋体"/>
                <w:color w:val="000000"/>
                <w:sz w:val="18"/>
                <w:szCs w:val="18"/>
              </w:rPr>
              <w:t>5.0</w:t>
            </w:r>
            <w:r>
              <w:rPr>
                <w:rFonts w:ascii="宋体" w:hAnsi="宋体"/>
                <w:color w:val="000000"/>
                <w:sz w:val="18"/>
                <w:szCs w:val="18"/>
                <w:eastAsianLayout w:id="41" w:combine="1"/>
              </w:rPr>
              <w:t>+1.5 -1.5</w:t>
            </w:r>
          </w:p>
        </w:tc>
        <w:tc>
          <w:tcPr>
            <w:tcW w:w="1792" w:type="dxa"/>
            <w:vAlign w:val="center"/>
          </w:tcPr>
          <w:p>
            <w:pPr>
              <w:jc w:val="center"/>
              <w:rPr>
                <w:rFonts w:hint="eastAsia" w:ascii="宋体" w:hAnsi="宋体"/>
                <w:color w:val="000000"/>
                <w:sz w:val="18"/>
                <w:szCs w:val="18"/>
              </w:rPr>
            </w:pPr>
            <w:r>
              <w:rPr>
                <w:rFonts w:hint="eastAsia" w:ascii="宋体" w:hAnsi="宋体"/>
                <w:color w:val="000000"/>
                <w:sz w:val="18"/>
                <w:szCs w:val="18"/>
                <w:lang w:val="en-US" w:eastAsia="zh-CN"/>
              </w:rPr>
              <w:t>30</w:t>
            </w:r>
            <w:r>
              <w:rPr>
                <w:rFonts w:ascii="宋体" w:hAnsi="宋体"/>
                <w:color w:val="000000"/>
                <w:sz w:val="18"/>
                <w:szCs w:val="18"/>
              </w:rPr>
              <w:t>.0</w:t>
            </w:r>
            <w:r>
              <w:rPr>
                <w:rFonts w:ascii="宋体" w:hAnsi="宋体"/>
                <w:color w:val="000000"/>
                <w:sz w:val="18"/>
                <w:szCs w:val="18"/>
                <w:eastAsianLayout w:id="42" w:combine="1"/>
              </w:rPr>
              <w:t>+1.5 -1.5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rPr>
              <w:t>pH值</w:t>
            </w:r>
          </w:p>
        </w:tc>
        <w:tc>
          <w:tcPr>
            <w:tcW w:w="5013" w:type="dxa"/>
            <w:gridSpan w:val="3"/>
            <w:vAlign w:val="center"/>
          </w:tcPr>
          <w:p>
            <w:pPr>
              <w:jc w:val="center"/>
              <w:rPr>
                <w:rFonts w:ascii="宋体" w:hAnsi="宋体"/>
                <w:color w:val="000000"/>
                <w:sz w:val="18"/>
                <w:szCs w:val="18"/>
              </w:rPr>
            </w:pPr>
            <w:r>
              <w:rPr>
                <w:rFonts w:ascii="宋体" w:hAnsi="宋体"/>
                <w:color w:val="000000"/>
                <w:sz w:val="18"/>
                <w:szCs w:val="18"/>
              </w:rPr>
              <w:t>6.0～9.0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160" w:type="dxa"/>
            <w:vMerge w:val="restart"/>
            <w:vAlign w:val="center"/>
          </w:tcPr>
          <w:p>
            <w:pPr>
              <w:pStyle w:val="19"/>
              <w:tabs>
                <w:tab w:val="left" w:pos="3618"/>
              </w:tabs>
              <w:snapToGrid/>
              <w:jc w:val="both"/>
              <w:rPr>
                <w:rFonts w:ascii="Times New Roman" w:hAnsi="Times New Roman"/>
                <w:color w:val="000000"/>
                <w:szCs w:val="24"/>
              </w:rPr>
            </w:pPr>
            <w:r>
              <w:rPr>
                <w:rFonts w:ascii="Times New Roman" w:hAnsi="Times New Roman"/>
                <w:color w:val="000000"/>
                <w:szCs w:val="24"/>
              </w:rPr>
              <w:t>倾倒性</w:t>
            </w:r>
          </w:p>
        </w:tc>
        <w:tc>
          <w:tcPr>
            <w:tcW w:w="3387" w:type="dxa"/>
            <w:vAlign w:val="center"/>
          </w:tcPr>
          <w:p>
            <w:pPr>
              <w:tabs>
                <w:tab w:val="left" w:pos="3618"/>
              </w:tabs>
              <w:rPr>
                <w:rFonts w:ascii="Times New Roman" w:hAnsi="Times New Roman"/>
                <w:color w:val="000000"/>
                <w:sz w:val="18"/>
              </w:rPr>
            </w:pPr>
            <w:r>
              <w:rPr>
                <w:rFonts w:ascii="Times New Roman" w:hAnsi="Times New Roman"/>
                <w:color w:val="000000"/>
                <w:sz w:val="18"/>
              </w:rPr>
              <w:t>倾倒后残余物/%</w:t>
            </w:r>
          </w:p>
        </w:tc>
        <w:tc>
          <w:tcPr>
            <w:tcW w:w="5013" w:type="dxa"/>
            <w:gridSpan w:val="3"/>
            <w:vAlign w:val="center"/>
          </w:tcPr>
          <w:p>
            <w:pPr>
              <w:jc w:val="center"/>
              <w:rPr>
                <w:rFonts w:ascii="宋体" w:hAnsi="宋体"/>
                <w:color w:val="000000"/>
                <w:sz w:val="18"/>
                <w:szCs w:val="18"/>
              </w:rPr>
            </w:pPr>
            <w:r>
              <w:rPr>
                <w:rFonts w:ascii="宋体" w:hAnsi="宋体"/>
                <w:color w:val="000000"/>
                <w:sz w:val="18"/>
              </w:rPr>
              <w:t>≤</w:t>
            </w:r>
            <w:r>
              <w:rPr>
                <w:rFonts w:ascii="宋体" w:hAnsi="宋体"/>
                <w:color w:val="000000"/>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160" w:type="dxa"/>
            <w:vMerge w:val="continue"/>
            <w:vAlign w:val="center"/>
          </w:tcPr>
          <w:p>
            <w:pPr>
              <w:tabs>
                <w:tab w:val="left" w:pos="3618"/>
              </w:tabs>
              <w:rPr>
                <w:rFonts w:ascii="Times New Roman" w:hAnsi="Times New Roman"/>
                <w:color w:val="000000"/>
                <w:sz w:val="18"/>
              </w:rPr>
            </w:pPr>
          </w:p>
        </w:tc>
        <w:tc>
          <w:tcPr>
            <w:tcW w:w="3387" w:type="dxa"/>
            <w:vAlign w:val="center"/>
          </w:tcPr>
          <w:p>
            <w:pPr>
              <w:tabs>
                <w:tab w:val="left" w:pos="3618"/>
              </w:tabs>
              <w:rPr>
                <w:rFonts w:ascii="Times New Roman" w:hAnsi="Times New Roman"/>
                <w:color w:val="000000"/>
                <w:sz w:val="18"/>
              </w:rPr>
            </w:pPr>
            <w:r>
              <w:rPr>
                <w:rFonts w:ascii="Times New Roman" w:hAnsi="Times New Roman"/>
                <w:color w:val="000000"/>
                <w:sz w:val="18"/>
              </w:rPr>
              <w:t>洗涤后残余物/%</w:t>
            </w:r>
          </w:p>
        </w:tc>
        <w:tc>
          <w:tcPr>
            <w:tcW w:w="5013" w:type="dxa"/>
            <w:gridSpan w:val="3"/>
            <w:vAlign w:val="center"/>
          </w:tcPr>
          <w:p>
            <w:pPr>
              <w:jc w:val="center"/>
              <w:rPr>
                <w:rFonts w:ascii="宋体" w:hAnsi="宋体"/>
                <w:color w:val="000000"/>
                <w:sz w:val="18"/>
                <w:szCs w:val="18"/>
              </w:rPr>
            </w:pPr>
            <w:r>
              <w:rPr>
                <w:rFonts w:ascii="宋体" w:hAnsi="宋体"/>
                <w:color w:val="000000"/>
                <w:sz w:val="18"/>
              </w:rPr>
              <w:t>≤</w:t>
            </w:r>
            <w:r>
              <w:rPr>
                <w:rFonts w:ascii="宋体" w:hAnsi="宋体"/>
                <w:color w:val="000000"/>
                <w:sz w:val="18"/>
                <w:szCs w:val="1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szCs w:val="18"/>
              </w:rPr>
              <w:t>悬浮率</w:t>
            </w:r>
            <w:r>
              <w:rPr>
                <w:rFonts w:hint="eastAsia" w:ascii="Times New Roman" w:hAnsi="Times New Roman"/>
                <w:color w:val="000000"/>
                <w:sz w:val="18"/>
                <w:szCs w:val="18"/>
              </w:rPr>
              <w:t>/%</w:t>
            </w:r>
          </w:p>
        </w:tc>
        <w:tc>
          <w:tcPr>
            <w:tcW w:w="5013" w:type="dxa"/>
            <w:gridSpan w:val="3"/>
            <w:vAlign w:val="center"/>
          </w:tcPr>
          <w:p>
            <w:pPr>
              <w:jc w:val="center"/>
              <w:rPr>
                <w:rFonts w:ascii="宋体" w:hAnsi="宋体"/>
                <w:color w:val="000000"/>
                <w:sz w:val="18"/>
              </w:rPr>
            </w:pPr>
            <w:r>
              <w:rPr>
                <w:rFonts w:hint="eastAsia" w:ascii="宋体" w:hAnsi="宋体"/>
                <w:color w:val="000000"/>
                <w:sz w:val="18"/>
                <w:szCs w:val="18"/>
              </w:rPr>
              <w:t>≥</w:t>
            </w:r>
            <w:r>
              <w:rPr>
                <w:rFonts w:ascii="宋体" w:hAnsi="宋体"/>
                <w:color w:val="000000"/>
                <w:sz w:val="18"/>
                <w:szCs w:val="18"/>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rPr>
              <w:t>湿筛试验（通过75μm试验筛）/%</w:t>
            </w:r>
          </w:p>
        </w:tc>
        <w:tc>
          <w:tcPr>
            <w:tcW w:w="5013" w:type="dxa"/>
            <w:gridSpan w:val="3"/>
            <w:vAlign w:val="center"/>
          </w:tcPr>
          <w:p>
            <w:pPr>
              <w:jc w:val="center"/>
              <w:rPr>
                <w:rFonts w:ascii="宋体" w:hAnsi="宋体"/>
                <w:color w:val="000000"/>
                <w:sz w:val="18"/>
                <w:szCs w:val="18"/>
              </w:rPr>
            </w:pPr>
            <w:r>
              <w:rPr>
                <w:rFonts w:hint="eastAsia" w:ascii="宋体" w:hAnsi="宋体"/>
                <w:color w:val="000000"/>
                <w:sz w:val="18"/>
                <w:szCs w:val="18"/>
                <w:lang w:val="en-US" w:eastAsia="zh-CN"/>
              </w:rPr>
              <w:t>≥</w:t>
            </w:r>
            <w:r>
              <w:rPr>
                <w:rFonts w:ascii="宋体" w:hAnsi="宋体"/>
                <w:color w:val="000000"/>
                <w:sz w:val="18"/>
                <w:szCs w:val="18"/>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47"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rPr>
              <w:t>持久起泡性（1min后泡沫量）/mL</w:t>
            </w:r>
          </w:p>
        </w:tc>
        <w:tc>
          <w:tcPr>
            <w:tcW w:w="5013" w:type="dxa"/>
            <w:gridSpan w:val="3"/>
            <w:vAlign w:val="center"/>
          </w:tcPr>
          <w:p>
            <w:pPr>
              <w:jc w:val="center"/>
              <w:rPr>
                <w:rFonts w:ascii="宋体" w:hAnsi="宋体"/>
                <w:color w:val="000000"/>
                <w:sz w:val="18"/>
                <w:szCs w:val="18"/>
              </w:rPr>
            </w:pPr>
            <w:r>
              <w:rPr>
                <w:rFonts w:ascii="宋体" w:hAnsi="宋体"/>
                <w:color w:val="000000"/>
                <w:sz w:val="18"/>
              </w:rPr>
              <w:t>≤</w:t>
            </w:r>
            <w:r>
              <w:rPr>
                <w:rFonts w:ascii="宋体" w:hAnsi="宋体"/>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4547" w:type="dxa"/>
            <w:gridSpan w:val="2"/>
            <w:vAlign w:val="center"/>
          </w:tcPr>
          <w:p>
            <w:pPr>
              <w:rPr>
                <w:rFonts w:ascii="Times New Roman" w:hAnsi="Times New Roman"/>
                <w:color w:val="000000"/>
                <w:sz w:val="18"/>
              </w:rPr>
            </w:pPr>
            <w:r>
              <w:rPr>
                <w:rFonts w:ascii="Times New Roman" w:hAnsi="Times New Roman"/>
                <w:color w:val="000000"/>
                <w:sz w:val="18"/>
              </w:rPr>
              <w:t>低温稳定性</w:t>
            </w:r>
          </w:p>
        </w:tc>
        <w:tc>
          <w:tcPr>
            <w:tcW w:w="5013" w:type="dxa"/>
            <w:gridSpan w:val="3"/>
            <w:vAlign w:val="center"/>
          </w:tcPr>
          <w:p>
            <w:pPr>
              <w:jc w:val="left"/>
              <w:rPr>
                <w:rFonts w:ascii="Times New Roman" w:hAnsi="Times New Roman"/>
                <w:color w:val="000000"/>
                <w:sz w:val="18"/>
                <w:szCs w:val="18"/>
              </w:rPr>
            </w:pPr>
            <w:r>
              <w:rPr>
                <w:rFonts w:hint="eastAsia" w:ascii="Times New Roman" w:hAnsi="Times New Roman"/>
                <w:color w:val="000000"/>
              </w:rPr>
              <w:t>冷储后，悬浮率、湿筛试验仍应符合本文件要求。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exact"/>
        </w:trPr>
        <w:tc>
          <w:tcPr>
            <w:tcW w:w="4547" w:type="dxa"/>
            <w:gridSpan w:val="2"/>
            <w:vAlign w:val="center"/>
          </w:tcPr>
          <w:p>
            <w:pPr>
              <w:rPr>
                <w:rFonts w:ascii="Times New Roman" w:hAnsi="Times New Roman"/>
                <w:color w:val="000000"/>
                <w:sz w:val="18"/>
              </w:rPr>
            </w:pPr>
            <w:r>
              <w:rPr>
                <w:rFonts w:ascii="Times New Roman" w:hAnsi="Times New Roman"/>
                <w:color w:val="000000"/>
                <w:sz w:val="18"/>
              </w:rPr>
              <w:t>热</w:t>
            </w:r>
            <w:r>
              <w:rPr>
                <w:rFonts w:hint="eastAsia" w:ascii="Times New Roman" w:hAnsi="Times New Roman"/>
                <w:color w:val="000000"/>
                <w:sz w:val="18"/>
                <w:lang w:val="en-US" w:eastAsia="zh-CN"/>
              </w:rPr>
              <w:t>贮</w:t>
            </w:r>
            <w:r>
              <w:rPr>
                <w:rFonts w:ascii="Times New Roman" w:hAnsi="Times New Roman"/>
                <w:color w:val="000000"/>
                <w:sz w:val="18"/>
              </w:rPr>
              <w:t>稳定性</w:t>
            </w:r>
          </w:p>
        </w:tc>
        <w:tc>
          <w:tcPr>
            <w:tcW w:w="5013" w:type="dxa"/>
            <w:gridSpan w:val="3"/>
            <w:vAlign w:val="center"/>
          </w:tcPr>
          <w:p>
            <w:pPr>
              <w:jc w:val="left"/>
              <w:rPr>
                <w:rFonts w:ascii="Times New Roman" w:hAnsi="Times New Roman"/>
                <w:color w:val="000000"/>
                <w:sz w:val="18"/>
                <w:szCs w:val="18"/>
              </w:rPr>
            </w:pPr>
            <w:r>
              <w:rPr>
                <w:rFonts w:hint="eastAsia" w:ascii="Times New Roman" w:hAnsi="Times New Roman"/>
                <w:color w:val="000000"/>
              </w:rPr>
              <w:t>热储后，吡唑醚菌酯质量分数应不低于热储前测得质量分数的95%，悬浮率、pH值、湿筛试验、倾倒性仍应符合本文件要求。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9560" w:type="dxa"/>
            <w:gridSpan w:val="5"/>
            <w:vAlign w:val="center"/>
          </w:tcPr>
          <w:p>
            <w:pPr>
              <w:rPr>
                <w:rFonts w:ascii="Times New Roman" w:hAnsi="Times New Roman"/>
                <w:color w:val="000000"/>
                <w:sz w:val="18"/>
              </w:rPr>
            </w:pPr>
            <w:r>
              <w:rPr>
                <w:rFonts w:ascii="Times New Roman" w:hAnsi="Times New Roman"/>
                <w:color w:val="000000"/>
                <w:sz w:val="18"/>
              </w:rPr>
              <w:t>注：正常生产时</w:t>
            </w:r>
            <w:r>
              <w:rPr>
                <w:rFonts w:hint="eastAsia" w:ascii="Times New Roman" w:hAnsi="Times New Roman"/>
                <w:color w:val="000000"/>
                <w:sz w:val="18"/>
              </w:rPr>
              <w:t>，</w:t>
            </w:r>
            <w:r>
              <w:rPr>
                <w:rFonts w:ascii="Times New Roman" w:hAnsi="Times New Roman"/>
                <w:color w:val="000000"/>
                <w:sz w:val="18"/>
              </w:rPr>
              <w:t>低温稳定性和热</w:t>
            </w:r>
            <w:r>
              <w:rPr>
                <w:rFonts w:hint="eastAsia" w:ascii="Times New Roman" w:hAnsi="Times New Roman"/>
                <w:color w:val="000000"/>
                <w:sz w:val="18"/>
                <w:lang w:val="en-US" w:eastAsia="zh-CN"/>
              </w:rPr>
              <w:t>贮</w:t>
            </w:r>
            <w:r>
              <w:rPr>
                <w:rFonts w:ascii="Times New Roman" w:hAnsi="Times New Roman"/>
                <w:color w:val="000000"/>
                <w:sz w:val="18"/>
              </w:rPr>
              <w:t>稳定性试验，每3个月至少进行1次。</w:t>
            </w:r>
          </w:p>
        </w:tc>
      </w:tr>
    </w:tbl>
    <w:p>
      <w:pPr>
        <w:pStyle w:val="105"/>
        <w:spacing w:before="240" w:after="240"/>
      </w:pPr>
      <w:r>
        <w:rPr>
          <w:rFonts w:hint="eastAsia"/>
        </w:rPr>
        <w:t>试验方法</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pPr>
        <w:pStyle w:val="106"/>
        <w:spacing w:before="120" w:after="120"/>
      </w:pPr>
      <w:r>
        <w:rPr>
          <w:rFonts w:hint="eastAsia"/>
        </w:rPr>
        <w:t>一般规定</w:t>
      </w:r>
    </w:p>
    <w:p>
      <w:pPr>
        <w:pStyle w:val="57"/>
        <w:ind w:firstLine="420"/>
        <w:rPr>
          <w:szCs w:val="21"/>
        </w:rPr>
      </w:pPr>
      <w:r>
        <w:rPr>
          <w:rFonts w:hint="eastAsia"/>
          <w:szCs w:val="21"/>
        </w:rPr>
        <w:t>本文件所用试剂和水在没有其他要求时，均指分析纯的试剂和蒸馏水。</w:t>
      </w:r>
    </w:p>
    <w:p>
      <w:pPr>
        <w:pStyle w:val="106"/>
        <w:spacing w:before="120" w:after="120"/>
      </w:pPr>
      <w:r>
        <w:rPr>
          <w:rFonts w:hint="eastAsia"/>
        </w:rPr>
        <w:t>取样</w:t>
      </w:r>
    </w:p>
    <w:p>
      <w:pPr>
        <w:pStyle w:val="57"/>
        <w:ind w:firstLine="420"/>
        <w:rPr>
          <w:szCs w:val="21"/>
        </w:rPr>
      </w:pPr>
      <w:r>
        <w:rPr>
          <w:rFonts w:hint="eastAsia"/>
          <w:szCs w:val="21"/>
        </w:rPr>
        <w:t>按</w:t>
      </w:r>
      <w:r>
        <w:rPr>
          <w:szCs w:val="21"/>
        </w:rPr>
        <w:t xml:space="preserve"> GB/T 1605—2001</w:t>
      </w:r>
      <w:r>
        <w:rPr>
          <w:rFonts w:hint="eastAsia"/>
          <w:szCs w:val="21"/>
        </w:rPr>
        <w:t>中</w:t>
      </w:r>
      <w:r>
        <w:rPr>
          <w:szCs w:val="21"/>
        </w:rPr>
        <w:t>5.3.2</w:t>
      </w:r>
      <w:r>
        <w:rPr>
          <w:rFonts w:hint="eastAsia"/>
          <w:szCs w:val="21"/>
        </w:rPr>
        <w:t>进行。用随机数表法确定取样的包装件；最终取样量应不少于</w:t>
      </w:r>
      <w:r>
        <w:rPr>
          <w:szCs w:val="21"/>
        </w:rPr>
        <w:t>2000 g</w:t>
      </w:r>
      <w:r>
        <w:rPr>
          <w:rFonts w:hint="eastAsia"/>
          <w:szCs w:val="21"/>
        </w:rPr>
        <w:t>。</w:t>
      </w:r>
    </w:p>
    <w:p>
      <w:pPr>
        <w:pStyle w:val="106"/>
        <w:spacing w:before="120" w:after="120"/>
      </w:pPr>
      <w:r>
        <w:rPr>
          <w:rFonts w:hint="eastAsia"/>
        </w:rPr>
        <w:t>鉴别试验</w:t>
      </w:r>
    </w:p>
    <w:p>
      <w:pPr>
        <w:pStyle w:val="57"/>
        <w:ind w:firstLine="420"/>
        <w:rPr>
          <w:szCs w:val="21"/>
        </w:rPr>
      </w:pPr>
      <w:r>
        <w:rPr>
          <w:rFonts w:hint="eastAsia"/>
          <w:szCs w:val="21"/>
        </w:rPr>
        <w:t>液相色谱法</w:t>
      </w:r>
      <w:r>
        <w:rPr>
          <w:rFonts w:ascii="Times New Roman"/>
          <w:szCs w:val="21"/>
        </w:rPr>
        <w:t>——</w:t>
      </w:r>
      <w:r>
        <w:rPr>
          <w:rFonts w:hint="eastAsia"/>
          <w:szCs w:val="21"/>
        </w:rPr>
        <w:t>本鉴别试验可与吡唑醚菌酯质量分数的测定同时进行。在相同的色谱操作条件下，试样溶液中某色谱峰的保留时间与标样溶液中吡唑醚菌酯的色谱峰的保留时间的相对差值应在</w:t>
      </w:r>
      <w:r>
        <w:rPr>
          <w:szCs w:val="21"/>
        </w:rPr>
        <w:t>1.5%</w:t>
      </w:r>
      <w:r>
        <w:rPr>
          <w:rFonts w:hint="eastAsia"/>
          <w:szCs w:val="21"/>
        </w:rPr>
        <w:t>以内。</w:t>
      </w:r>
    </w:p>
    <w:p>
      <w:pPr>
        <w:pStyle w:val="106"/>
        <w:spacing w:before="120" w:after="120"/>
      </w:pPr>
      <w:r>
        <w:rPr>
          <w:rFonts w:hint="eastAsia"/>
        </w:rPr>
        <w:t>外观</w:t>
      </w:r>
    </w:p>
    <w:p>
      <w:pPr>
        <w:pStyle w:val="57"/>
        <w:ind w:firstLine="420"/>
        <w:rPr>
          <w:szCs w:val="21"/>
        </w:rPr>
      </w:pPr>
      <w:r>
        <w:rPr>
          <w:rFonts w:hint="eastAsia"/>
          <w:szCs w:val="21"/>
        </w:rPr>
        <w:t>采用目测法测定。</w:t>
      </w:r>
    </w:p>
    <w:p>
      <w:pPr>
        <w:pStyle w:val="106"/>
        <w:spacing w:before="120" w:after="120"/>
      </w:pPr>
      <w:r>
        <w:rPr>
          <w:rFonts w:hint="eastAsia"/>
        </w:rPr>
        <w:t>吡唑醚菌酯质量分数的测定</w:t>
      </w:r>
    </w:p>
    <w:p>
      <w:pPr>
        <w:pStyle w:val="66"/>
        <w:spacing w:before="120" w:after="120"/>
        <w:ind w:left="421" w:leftChars="135" w:hanging="138" w:hangingChars="66"/>
      </w:pPr>
      <w:r>
        <w:rPr>
          <w:rFonts w:hint="eastAsia" w:ascii="宋体" w:eastAsia="宋体"/>
          <w:szCs w:val="21"/>
        </w:rPr>
        <w:t>方法提要</w:t>
      </w:r>
    </w:p>
    <w:p>
      <w:pPr>
        <w:pStyle w:val="57"/>
        <w:ind w:firstLine="420"/>
        <w:rPr>
          <w:szCs w:val="21"/>
        </w:rPr>
      </w:pPr>
      <w:r>
        <w:rPr>
          <w:rFonts w:hint="eastAsia"/>
          <w:szCs w:val="21"/>
        </w:rPr>
        <w:t>试样用甲醇溶解，以甲醇</w:t>
      </w:r>
      <w:r>
        <w:rPr>
          <w:szCs w:val="21"/>
        </w:rPr>
        <w:t>+</w:t>
      </w:r>
      <w:r>
        <w:rPr>
          <w:rFonts w:hint="eastAsia"/>
          <w:szCs w:val="21"/>
        </w:rPr>
        <w:t>水+冰乙酸为流动相，使用以</w:t>
      </w:r>
      <w:r>
        <w:rPr>
          <w:szCs w:val="21"/>
        </w:rPr>
        <w:t>C</w:t>
      </w:r>
      <w:r>
        <w:rPr>
          <w:szCs w:val="21"/>
          <w:vertAlign w:val="subscript"/>
        </w:rPr>
        <w:t>18</w:t>
      </w:r>
      <w:r>
        <w:rPr>
          <w:rFonts w:hint="eastAsia"/>
          <w:szCs w:val="21"/>
        </w:rPr>
        <w:t>为填料的不锈钢柱和紫外检测器，在波长</w:t>
      </w:r>
      <w:r>
        <w:rPr>
          <w:szCs w:val="21"/>
        </w:rPr>
        <w:t>275nm</w:t>
      </w:r>
      <w:r>
        <w:rPr>
          <w:rFonts w:hint="eastAsia"/>
          <w:szCs w:val="21"/>
        </w:rPr>
        <w:t>下对试样中的吡唑醚菌酯进行反相高效液相色谱分离，以外标法定量。</w:t>
      </w:r>
    </w:p>
    <w:p>
      <w:pPr>
        <w:pStyle w:val="66"/>
        <w:spacing w:before="120" w:after="120"/>
        <w:ind w:left="421" w:leftChars="135" w:hanging="138" w:hangingChars="66"/>
        <w:rPr>
          <w:rFonts w:ascii="宋体" w:eastAsia="宋体"/>
          <w:szCs w:val="21"/>
        </w:rPr>
      </w:pPr>
      <w:r>
        <w:rPr>
          <w:rFonts w:hint="eastAsia" w:ascii="宋体" w:eastAsia="宋体"/>
          <w:szCs w:val="21"/>
        </w:rPr>
        <w:t>试剂和溶液</w:t>
      </w:r>
      <w:r>
        <w:rPr>
          <w:rFonts w:ascii="宋体" w:eastAsia="宋体"/>
          <w:szCs w:val="21"/>
        </w:rPr>
        <w:t xml:space="preserve"> </w:t>
      </w:r>
    </w:p>
    <w:p>
      <w:pPr>
        <w:pStyle w:val="57"/>
        <w:ind w:firstLine="420"/>
        <w:rPr>
          <w:szCs w:val="21"/>
        </w:rPr>
      </w:pPr>
      <w:r>
        <w:rPr>
          <w:rFonts w:hint="eastAsia"/>
          <w:szCs w:val="21"/>
        </w:rPr>
        <w:t>甲醇：色谱级。</w:t>
      </w:r>
    </w:p>
    <w:p>
      <w:pPr>
        <w:pStyle w:val="57"/>
        <w:ind w:firstLine="420"/>
        <w:rPr>
          <w:szCs w:val="21"/>
        </w:rPr>
      </w:pPr>
      <w:r>
        <w:rPr>
          <w:rFonts w:hint="eastAsia"/>
          <w:szCs w:val="21"/>
        </w:rPr>
        <w:t>冰乙酸。</w:t>
      </w:r>
    </w:p>
    <w:p>
      <w:pPr>
        <w:pStyle w:val="57"/>
        <w:ind w:firstLine="420"/>
        <w:rPr>
          <w:szCs w:val="21"/>
        </w:rPr>
      </w:pPr>
      <w:r>
        <w:rPr>
          <w:rFonts w:hint="eastAsia"/>
          <w:szCs w:val="21"/>
        </w:rPr>
        <w:t>水：新蒸二次蒸馏水或超纯水。</w:t>
      </w:r>
    </w:p>
    <w:p>
      <w:pPr>
        <w:pStyle w:val="57"/>
        <w:ind w:firstLine="420"/>
        <w:rPr>
          <w:szCs w:val="21"/>
        </w:rPr>
      </w:pPr>
      <w:r>
        <w:rPr>
          <w:rFonts w:hint="eastAsia"/>
          <w:szCs w:val="21"/>
        </w:rPr>
        <w:t>吡唑醚菌酯标样：已知吡唑醚菌酯质量分数，ω≥</w:t>
      </w:r>
      <w:r>
        <w:rPr>
          <w:szCs w:val="21"/>
        </w:rPr>
        <w:t>99.0%</w:t>
      </w:r>
      <w:r>
        <w:rPr>
          <w:rFonts w:hint="eastAsia"/>
          <w:szCs w:val="21"/>
        </w:rPr>
        <w:t>。</w:t>
      </w:r>
    </w:p>
    <w:p>
      <w:pPr>
        <w:pStyle w:val="66"/>
        <w:spacing w:before="120" w:after="120"/>
        <w:ind w:left="421" w:leftChars="135" w:hanging="138" w:hangingChars="66"/>
        <w:rPr>
          <w:rFonts w:ascii="宋体" w:eastAsia="宋体"/>
          <w:szCs w:val="21"/>
        </w:rPr>
      </w:pPr>
      <w:r>
        <w:rPr>
          <w:rFonts w:hint="eastAsia" w:ascii="宋体" w:eastAsia="宋体"/>
          <w:szCs w:val="21"/>
        </w:rPr>
        <w:t>仪器</w:t>
      </w:r>
      <w:r>
        <w:rPr>
          <w:rFonts w:ascii="宋体" w:eastAsia="宋体"/>
          <w:szCs w:val="21"/>
        </w:rPr>
        <w:t xml:space="preserve"> </w:t>
      </w:r>
    </w:p>
    <w:p>
      <w:pPr>
        <w:pStyle w:val="57"/>
        <w:ind w:firstLine="420"/>
        <w:rPr>
          <w:szCs w:val="21"/>
        </w:rPr>
      </w:pPr>
      <w:r>
        <w:rPr>
          <w:rFonts w:hint="eastAsia"/>
          <w:szCs w:val="21"/>
        </w:rPr>
        <w:t>高效液相色谱仪：具有可变波长紫外检测器。</w:t>
      </w:r>
    </w:p>
    <w:p>
      <w:pPr>
        <w:pStyle w:val="57"/>
        <w:ind w:firstLine="420"/>
        <w:rPr>
          <w:szCs w:val="21"/>
        </w:rPr>
      </w:pPr>
      <w:r>
        <w:rPr>
          <w:rFonts w:hint="eastAsia"/>
          <w:szCs w:val="21"/>
        </w:rPr>
        <w:t>色谱数据处理机或色谱工作站。</w:t>
      </w:r>
    </w:p>
    <w:p>
      <w:pPr>
        <w:pStyle w:val="57"/>
        <w:ind w:firstLine="420"/>
        <w:rPr>
          <w:szCs w:val="21"/>
        </w:rPr>
      </w:pPr>
      <w:r>
        <w:rPr>
          <w:rFonts w:hint="eastAsia"/>
          <w:szCs w:val="21"/>
        </w:rPr>
        <w:t>色谱柱：</w:t>
      </w:r>
      <w:r>
        <w:rPr>
          <w:szCs w:val="21"/>
        </w:rPr>
        <w:t>250 mm×4.6 mm (</w:t>
      </w:r>
      <w:r>
        <w:rPr>
          <w:rFonts w:hint="eastAsia"/>
          <w:szCs w:val="21"/>
        </w:rPr>
        <w:t>内径</w:t>
      </w:r>
      <w:r>
        <w:rPr>
          <w:szCs w:val="21"/>
        </w:rPr>
        <w:t>)</w:t>
      </w:r>
      <w:r>
        <w:rPr>
          <w:rFonts w:hint="eastAsia"/>
          <w:szCs w:val="21"/>
        </w:rPr>
        <w:t>不锈钢柱，内装</w:t>
      </w:r>
      <w:r>
        <w:rPr>
          <w:szCs w:val="21"/>
        </w:rPr>
        <w:t>C</w:t>
      </w:r>
      <w:r>
        <w:rPr>
          <w:szCs w:val="21"/>
          <w:vertAlign w:val="subscript"/>
        </w:rPr>
        <w:t>18</w:t>
      </w:r>
      <w:r>
        <w:rPr>
          <w:rFonts w:hint="eastAsia"/>
          <w:szCs w:val="21"/>
        </w:rPr>
        <w:t>、</w:t>
      </w:r>
      <w:r>
        <w:rPr>
          <w:szCs w:val="21"/>
        </w:rPr>
        <w:t>5 μm</w:t>
      </w:r>
      <w:r>
        <w:rPr>
          <w:rFonts w:hint="eastAsia"/>
          <w:szCs w:val="21"/>
        </w:rPr>
        <w:t>填充物</w:t>
      </w:r>
      <w:r>
        <w:rPr>
          <w:szCs w:val="21"/>
        </w:rPr>
        <w:t>(</w:t>
      </w:r>
      <w:r>
        <w:rPr>
          <w:rFonts w:hint="eastAsia"/>
          <w:szCs w:val="21"/>
        </w:rPr>
        <w:t>或具有同等效果的色谱柱</w:t>
      </w:r>
      <w:r>
        <w:rPr>
          <w:szCs w:val="21"/>
        </w:rPr>
        <w:t>)</w:t>
      </w:r>
      <w:r>
        <w:rPr>
          <w:rFonts w:hint="eastAsia"/>
          <w:szCs w:val="21"/>
        </w:rPr>
        <w:t>。</w:t>
      </w:r>
    </w:p>
    <w:p>
      <w:pPr>
        <w:pStyle w:val="57"/>
        <w:ind w:firstLine="420"/>
        <w:rPr>
          <w:rFonts w:hint="eastAsia"/>
          <w:szCs w:val="21"/>
        </w:rPr>
      </w:pPr>
      <w:r>
        <w:rPr>
          <w:rFonts w:hint="eastAsia"/>
          <w:szCs w:val="21"/>
        </w:rPr>
        <w:t>过滤器：滤膜孔径约</w:t>
      </w:r>
      <w:r>
        <w:rPr>
          <w:szCs w:val="21"/>
        </w:rPr>
        <w:t>0.45 μm</w:t>
      </w:r>
      <w:r>
        <w:rPr>
          <w:rFonts w:hint="eastAsia"/>
          <w:szCs w:val="21"/>
        </w:rPr>
        <w:t>。</w:t>
      </w:r>
    </w:p>
    <w:p>
      <w:pPr>
        <w:pStyle w:val="57"/>
        <w:ind w:firstLine="42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微量进样器：50</w:t>
      </w:r>
      <w:r>
        <w:rPr>
          <w:color w:val="000000" w:themeColor="text1"/>
          <w:szCs w:val="21"/>
          <w14:textFill>
            <w14:solidFill>
              <w14:schemeClr w14:val="tx1"/>
            </w14:solidFill>
          </w14:textFill>
        </w:rPr>
        <w:t>μ</w:t>
      </w:r>
      <w:r>
        <w:rPr>
          <w:rFonts w:hint="eastAsia"/>
          <w:color w:val="000000" w:themeColor="text1"/>
          <w:szCs w:val="21"/>
          <w:lang w:val="en-US" w:eastAsia="zh-CN"/>
          <w14:textFill>
            <w14:solidFill>
              <w14:schemeClr w14:val="tx1"/>
            </w14:solidFill>
          </w14:textFill>
        </w:rPr>
        <w:t>L</w:t>
      </w:r>
    </w:p>
    <w:p>
      <w:pPr>
        <w:pStyle w:val="57"/>
        <w:ind w:firstLine="420"/>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定量进样管：5</w:t>
      </w:r>
      <w:r>
        <w:rPr>
          <w:color w:val="000000" w:themeColor="text1"/>
          <w:szCs w:val="21"/>
          <w14:textFill>
            <w14:solidFill>
              <w14:schemeClr w14:val="tx1"/>
            </w14:solidFill>
          </w14:textFill>
        </w:rPr>
        <w:t>μ</w:t>
      </w:r>
      <w:r>
        <w:rPr>
          <w:rFonts w:hint="eastAsia"/>
          <w:color w:val="000000" w:themeColor="text1"/>
          <w:szCs w:val="21"/>
          <w:lang w:val="en-US" w:eastAsia="zh-CN"/>
          <w14:textFill>
            <w14:solidFill>
              <w14:schemeClr w14:val="tx1"/>
            </w14:solidFill>
          </w14:textFill>
        </w:rPr>
        <w:t>L</w:t>
      </w:r>
    </w:p>
    <w:p>
      <w:pPr>
        <w:pStyle w:val="57"/>
        <w:ind w:firstLine="420"/>
        <w:rPr>
          <w:szCs w:val="21"/>
        </w:rPr>
      </w:pPr>
      <w:r>
        <w:rPr>
          <w:rFonts w:hint="eastAsia"/>
          <w:szCs w:val="21"/>
        </w:rPr>
        <w:t>超声波清洗器。</w:t>
      </w:r>
    </w:p>
    <w:p>
      <w:pPr>
        <w:pStyle w:val="66"/>
        <w:spacing w:before="120" w:after="120"/>
        <w:ind w:left="421" w:leftChars="135" w:hanging="138" w:hangingChars="66"/>
        <w:rPr>
          <w:rFonts w:ascii="宋体" w:eastAsia="宋体"/>
          <w:szCs w:val="21"/>
        </w:rPr>
      </w:pPr>
      <w:r>
        <w:rPr>
          <w:rFonts w:hint="eastAsia" w:ascii="宋体" w:eastAsia="宋体"/>
          <w:szCs w:val="21"/>
        </w:rPr>
        <w:t>高效液相色谱操作条件</w:t>
      </w:r>
      <w:r>
        <w:rPr>
          <w:rFonts w:ascii="宋体" w:eastAsia="宋体"/>
          <w:szCs w:val="21"/>
        </w:rPr>
        <w:t xml:space="preserve"> </w:t>
      </w:r>
    </w:p>
    <w:p>
      <w:pPr>
        <w:pStyle w:val="57"/>
        <w:ind w:firstLine="420"/>
        <w:rPr>
          <w:szCs w:val="21"/>
        </w:rPr>
      </w:pPr>
      <w:r>
        <w:rPr>
          <w:rFonts w:hint="eastAsia" w:ascii="Times New Roman"/>
          <w:kern w:val="21"/>
          <w:szCs w:val="22"/>
        </w:rPr>
        <w:t>流动相：</w:t>
      </w:r>
      <w:r>
        <w:rPr>
          <w:rFonts w:hint="eastAsia" w:cs="宋体"/>
        </w:rPr>
        <w:t>ψ（甲醇：水：冰乙酸）</w:t>
      </w:r>
      <w:r>
        <w:rPr>
          <w:rFonts w:cs="宋体"/>
        </w:rPr>
        <w:t>=80</w:t>
      </w:r>
      <w:r>
        <w:rPr>
          <w:rFonts w:hint="eastAsia" w:cs="宋体"/>
        </w:rPr>
        <w:t>:</w:t>
      </w:r>
      <w:r>
        <w:rPr>
          <w:rFonts w:cs="宋体"/>
        </w:rPr>
        <w:t>20</w:t>
      </w:r>
      <w:r>
        <w:rPr>
          <w:rFonts w:hint="eastAsia" w:cs="宋体"/>
        </w:rPr>
        <w:t>：0</w:t>
      </w:r>
      <w:r>
        <w:rPr>
          <w:rFonts w:cs="宋体"/>
        </w:rPr>
        <w:t>.1</w:t>
      </w:r>
      <w:r>
        <w:rPr>
          <w:rFonts w:hint="eastAsia" w:ascii="Times New Roman"/>
          <w:kern w:val="21"/>
          <w:szCs w:val="22"/>
        </w:rPr>
        <w:t>，经滤膜过滤，并进行脱气。</w:t>
      </w:r>
    </w:p>
    <w:p>
      <w:pPr>
        <w:pStyle w:val="57"/>
        <w:ind w:firstLine="420"/>
        <w:rPr>
          <w:rFonts w:ascii="Times New Roman"/>
          <w:kern w:val="21"/>
          <w:szCs w:val="22"/>
        </w:rPr>
      </w:pPr>
      <w:r>
        <w:rPr>
          <w:rFonts w:hint="eastAsia" w:ascii="Times New Roman"/>
          <w:kern w:val="21"/>
          <w:szCs w:val="22"/>
        </w:rPr>
        <w:t>流速：1.</w:t>
      </w:r>
      <w:r>
        <w:rPr>
          <w:rFonts w:ascii="Times New Roman"/>
          <w:kern w:val="21"/>
          <w:szCs w:val="22"/>
        </w:rPr>
        <w:t>0</w:t>
      </w:r>
      <w:r>
        <w:rPr>
          <w:rFonts w:hint="eastAsia" w:ascii="Times New Roman"/>
          <w:kern w:val="21"/>
          <w:szCs w:val="22"/>
        </w:rPr>
        <w:t>mL/min。</w:t>
      </w:r>
    </w:p>
    <w:p>
      <w:pPr>
        <w:pStyle w:val="232"/>
        <w:rPr>
          <w:rFonts w:ascii="Times New Roman"/>
          <w:szCs w:val="21"/>
        </w:rPr>
      </w:pPr>
      <w:r>
        <w:rPr>
          <w:rFonts w:ascii="Times New Roman"/>
          <w:szCs w:val="21"/>
        </w:rPr>
        <w:t>柱温：</w:t>
      </w:r>
      <w:r>
        <w:rPr>
          <w:rFonts w:hint="eastAsia" w:ascii="Times New Roman"/>
          <w:szCs w:val="21"/>
        </w:rPr>
        <w:t>30℃（温差变化应不大于</w:t>
      </w:r>
      <w:r>
        <w:rPr>
          <w:rFonts w:ascii="Times New Roman"/>
          <w:szCs w:val="21"/>
        </w:rPr>
        <w:t>2</w:t>
      </w:r>
      <w:r>
        <w:rPr>
          <w:rFonts w:hint="eastAsia" w:ascii="Times New Roman"/>
          <w:szCs w:val="21"/>
        </w:rPr>
        <w:t>℃）</w:t>
      </w:r>
      <w:r>
        <w:rPr>
          <w:rFonts w:ascii="Times New Roman"/>
          <w:szCs w:val="21"/>
        </w:rPr>
        <w:t>；</w:t>
      </w:r>
    </w:p>
    <w:p>
      <w:pPr>
        <w:pStyle w:val="232"/>
        <w:rPr>
          <w:rFonts w:ascii="Times New Roman"/>
          <w:szCs w:val="21"/>
        </w:rPr>
      </w:pPr>
      <w:r>
        <w:rPr>
          <w:rFonts w:ascii="Times New Roman"/>
          <w:szCs w:val="21"/>
        </w:rPr>
        <w:t>检测波长：275nm；</w:t>
      </w:r>
    </w:p>
    <w:p>
      <w:pPr>
        <w:pStyle w:val="232"/>
        <w:rPr>
          <w:rFonts w:ascii="Times New Roman"/>
          <w:szCs w:val="21"/>
        </w:rPr>
      </w:pPr>
      <w:r>
        <w:rPr>
          <w:rFonts w:ascii="Times New Roman"/>
          <w:szCs w:val="21"/>
        </w:rPr>
        <w:t>进样体积：</w:t>
      </w:r>
      <w:r>
        <w:rPr>
          <w:rFonts w:hint="eastAsia" w:ascii="Times New Roman"/>
          <w:szCs w:val="21"/>
        </w:rPr>
        <w:t>5</w:t>
      </w:r>
      <w:r>
        <w:rPr>
          <w:rFonts w:ascii="Times New Roman"/>
          <w:szCs w:val="21"/>
        </w:rPr>
        <w:t>µL；</w:t>
      </w:r>
    </w:p>
    <w:p>
      <w:pPr>
        <w:pStyle w:val="232"/>
        <w:rPr>
          <w:rFonts w:hint="eastAsia" w:ascii="Times New Roman" w:eastAsia="宋体"/>
          <w:szCs w:val="21"/>
          <w:lang w:eastAsia="zh-CN"/>
        </w:rPr>
      </w:pPr>
      <w:r>
        <w:rPr>
          <w:rFonts w:ascii="Times New Roman"/>
          <w:szCs w:val="21"/>
        </w:rPr>
        <w:t>保留时间：</w:t>
      </w:r>
      <w:r>
        <w:rPr>
          <w:rFonts w:hint="eastAsia" w:ascii="Times New Roman"/>
          <w:szCs w:val="21"/>
        </w:rPr>
        <w:t>吡唑醚菌酯</w:t>
      </w:r>
      <w:r>
        <w:rPr>
          <w:rFonts w:ascii="Times New Roman"/>
          <w:szCs w:val="21"/>
        </w:rPr>
        <w:t>约为</w:t>
      </w:r>
      <w:r>
        <w:rPr>
          <w:rFonts w:hint="eastAsia" w:ascii="Times New Roman"/>
          <w:szCs w:val="21"/>
        </w:rPr>
        <w:t>8.</w:t>
      </w:r>
      <w:r>
        <w:rPr>
          <w:rFonts w:ascii="Times New Roman"/>
          <w:szCs w:val="21"/>
        </w:rPr>
        <w:t>2</w:t>
      </w:r>
      <w:r>
        <w:rPr>
          <w:rFonts w:hint="eastAsia" w:ascii="Times New Roman"/>
          <w:szCs w:val="21"/>
        </w:rPr>
        <w:t>min</w:t>
      </w:r>
      <w:r>
        <w:rPr>
          <w:rFonts w:ascii="Times New Roman"/>
          <w:szCs w:val="21"/>
        </w:rPr>
        <w:t>。</w:t>
      </w:r>
      <w:bookmarkStart w:id="137" w:name="_GoBack"/>
      <w:bookmarkEnd w:id="137"/>
    </w:p>
    <w:p>
      <w:pPr>
        <w:pStyle w:val="57"/>
        <w:ind w:firstLine="420"/>
        <w:rPr>
          <w:szCs w:val="21"/>
        </w:rPr>
      </w:pPr>
      <w:r>
        <w:rPr>
          <w:rFonts w:ascii="Times New Roman"/>
          <w:szCs w:val="21"/>
        </w:rPr>
        <w:t>上述操作，系典型操作参数。可根据不同仪器特点，对给定的操作参数作适当调整，以期获得最佳效果。典型的高效液相色谱图见图1、图2。</w:t>
      </w:r>
    </w:p>
    <w:p>
      <w:pPr>
        <w:pStyle w:val="57"/>
        <w:ind w:firstLine="420"/>
        <w:rPr>
          <w:szCs w:val="21"/>
        </w:rPr>
      </w:pPr>
      <w:r>
        <w:drawing>
          <wp:inline distT="0" distB="0" distL="0" distR="0">
            <wp:extent cx="5939790" cy="1524635"/>
            <wp:effectExtent l="0" t="0" r="381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5939790" cy="1524635"/>
                    </a:xfrm>
                    <a:prstGeom prst="rect">
                      <a:avLst/>
                    </a:prstGeom>
                  </pic:spPr>
                </pic:pic>
              </a:graphicData>
            </a:graphic>
          </wp:inline>
        </w:drawing>
      </w:r>
    </w:p>
    <w:p>
      <w:pPr>
        <w:pStyle w:val="57"/>
        <w:ind w:firstLine="420"/>
        <w:jc w:val="center"/>
        <w:rPr>
          <w:szCs w:val="21"/>
        </w:rPr>
      </w:pPr>
    </w:p>
    <w:p>
      <w:pPr>
        <w:pStyle w:val="57"/>
        <w:ind w:firstLine="420"/>
        <w:jc w:val="center"/>
        <w:rPr>
          <w:szCs w:val="21"/>
        </w:rPr>
      </w:pPr>
      <w:r>
        <w:rPr>
          <w:rFonts w:hint="eastAsia"/>
          <w:szCs w:val="21"/>
        </w:rPr>
        <w:t>图1</w:t>
      </w:r>
      <w:r>
        <w:rPr>
          <w:szCs w:val="21"/>
        </w:rPr>
        <w:t xml:space="preserve"> </w:t>
      </w:r>
      <w:r>
        <w:rPr>
          <w:rFonts w:hint="eastAsia"/>
          <w:szCs w:val="21"/>
        </w:rPr>
        <w:t>标样色谱图</w:t>
      </w:r>
    </w:p>
    <w:p>
      <w:pPr>
        <w:pStyle w:val="57"/>
        <w:ind w:firstLine="420"/>
        <w:rPr>
          <w:szCs w:val="21"/>
        </w:rPr>
      </w:pPr>
    </w:p>
    <w:p>
      <w:pPr>
        <w:pStyle w:val="57"/>
        <w:ind w:firstLine="420"/>
        <w:rPr>
          <w:szCs w:val="21"/>
        </w:rPr>
      </w:pPr>
      <w:r>
        <w:drawing>
          <wp:inline distT="0" distB="0" distL="0" distR="0">
            <wp:extent cx="5939790" cy="1519555"/>
            <wp:effectExtent l="0" t="0" r="3810" b="444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5939790" cy="1519555"/>
                    </a:xfrm>
                    <a:prstGeom prst="rect">
                      <a:avLst/>
                    </a:prstGeom>
                  </pic:spPr>
                </pic:pic>
              </a:graphicData>
            </a:graphic>
          </wp:inline>
        </w:drawing>
      </w:r>
    </w:p>
    <w:p>
      <w:pPr>
        <w:pStyle w:val="57"/>
        <w:ind w:firstLine="420"/>
        <w:jc w:val="center"/>
        <w:rPr>
          <w:szCs w:val="21"/>
        </w:rPr>
      </w:pPr>
    </w:p>
    <w:p>
      <w:pPr>
        <w:pStyle w:val="57"/>
        <w:ind w:firstLine="420"/>
        <w:jc w:val="center"/>
        <w:rPr>
          <w:szCs w:val="21"/>
        </w:rPr>
      </w:pPr>
      <w:r>
        <w:rPr>
          <w:rFonts w:hint="eastAsia"/>
          <w:szCs w:val="21"/>
        </w:rPr>
        <w:t>图2</w:t>
      </w:r>
      <w:r>
        <w:rPr>
          <w:szCs w:val="21"/>
        </w:rPr>
        <w:t xml:space="preserve"> </w:t>
      </w:r>
      <w:r>
        <w:rPr>
          <w:rFonts w:hint="eastAsia"/>
          <w:szCs w:val="21"/>
        </w:rPr>
        <w:t>样品色谱图</w:t>
      </w:r>
    </w:p>
    <w:p>
      <w:pPr>
        <w:pStyle w:val="57"/>
        <w:ind w:firstLine="420"/>
        <w:rPr>
          <w:szCs w:val="21"/>
        </w:rPr>
      </w:pPr>
    </w:p>
    <w:p>
      <w:pPr>
        <w:pStyle w:val="66"/>
        <w:spacing w:before="120" w:after="120"/>
        <w:ind w:left="421" w:leftChars="135" w:hanging="138" w:hangingChars="66"/>
        <w:rPr>
          <w:rFonts w:ascii="宋体" w:eastAsia="宋体"/>
          <w:szCs w:val="21"/>
        </w:rPr>
      </w:pPr>
      <w:r>
        <w:t>测定步骤</w:t>
      </w:r>
    </w:p>
    <w:p>
      <w:pPr>
        <w:pStyle w:val="95"/>
        <w:spacing w:before="120" w:after="120"/>
        <w:ind w:left="283" w:leftChars="135"/>
      </w:pPr>
      <w:r>
        <w:rPr>
          <w:rFonts w:ascii="Times New Roman"/>
        </w:rPr>
        <w:t>标样溶液的制备</w:t>
      </w:r>
    </w:p>
    <w:p>
      <w:r>
        <w:t xml:space="preserve">    </w:t>
      </w:r>
      <w:r>
        <w:rPr>
          <w:rFonts w:hAnsi="宋体"/>
        </w:rPr>
        <w:t>称取</w:t>
      </w:r>
      <w:r>
        <w:t>0.1g</w:t>
      </w:r>
      <w:r>
        <w:rPr>
          <w:rFonts w:hint="eastAsia"/>
        </w:rPr>
        <w:t>吡唑醚菌酯</w:t>
      </w:r>
      <w:r>
        <w:rPr>
          <w:rFonts w:hAnsi="宋体"/>
        </w:rPr>
        <w:t>标样（精确至</w:t>
      </w:r>
      <w:r>
        <w:t>0.00001g</w:t>
      </w:r>
      <w:r>
        <w:rPr>
          <w:rFonts w:hAnsi="宋体"/>
        </w:rPr>
        <w:t>）于</w:t>
      </w:r>
      <w:r>
        <w:t>50mL</w:t>
      </w:r>
      <w:r>
        <w:rPr>
          <w:rFonts w:hAnsi="宋体"/>
        </w:rPr>
        <w:t>容量瓶中，</w:t>
      </w:r>
      <w:r>
        <w:rPr>
          <w:rFonts w:hint="eastAsia" w:hAnsi="宋体"/>
        </w:rPr>
        <w:t>加入约3</w:t>
      </w:r>
      <w:r>
        <w:rPr>
          <w:rFonts w:hAnsi="宋体"/>
        </w:rPr>
        <w:t>0mL</w:t>
      </w:r>
      <w:r>
        <w:rPr>
          <w:rFonts w:hint="eastAsia" w:hAnsi="宋体"/>
        </w:rPr>
        <w:t>甲醇</w:t>
      </w:r>
      <w:r>
        <w:t>超声</w:t>
      </w:r>
      <w:r>
        <w:rPr>
          <w:rFonts w:hint="eastAsia"/>
        </w:rPr>
        <w:t>振荡5</w:t>
      </w:r>
      <w:r>
        <w:t>min</w:t>
      </w:r>
      <w:r>
        <w:rPr>
          <w:rFonts w:hint="eastAsia"/>
        </w:rPr>
        <w:t>使其</w:t>
      </w:r>
      <w:r>
        <w:rPr>
          <w:rFonts w:hAnsi="宋体"/>
        </w:rPr>
        <w:t>溶解稀释</w:t>
      </w:r>
      <w:r>
        <w:rPr>
          <w:rFonts w:hint="eastAsia" w:hAnsi="宋体"/>
        </w:rPr>
        <w:t>，冷却至室温，用甲醇稀释</w:t>
      </w:r>
      <w:r>
        <w:rPr>
          <w:rFonts w:hAnsi="宋体"/>
        </w:rPr>
        <w:t>至刻度，摇匀</w:t>
      </w:r>
      <w:r>
        <w:rPr>
          <w:rFonts w:hint="eastAsia" w:hAnsi="宋体"/>
        </w:rPr>
        <w:t>。用移液管移取5</w:t>
      </w:r>
      <w:r>
        <w:rPr>
          <w:rFonts w:hAnsi="宋体"/>
        </w:rPr>
        <w:t>mL</w:t>
      </w:r>
      <w:r>
        <w:rPr>
          <w:rFonts w:hint="eastAsia" w:hAnsi="宋体"/>
        </w:rPr>
        <w:t>上述溶液于5</w:t>
      </w:r>
      <w:r>
        <w:rPr>
          <w:rFonts w:hAnsi="宋体"/>
        </w:rPr>
        <w:t>0mL</w:t>
      </w:r>
      <w:r>
        <w:rPr>
          <w:rFonts w:hint="eastAsia" w:hAnsi="宋体"/>
        </w:rPr>
        <w:t>容量瓶中，用甲醇稀释至刻度，摇匀。</w:t>
      </w:r>
    </w:p>
    <w:p>
      <w:pPr>
        <w:pStyle w:val="95"/>
        <w:spacing w:before="120" w:after="120"/>
        <w:ind w:left="283" w:leftChars="135"/>
        <w:rPr>
          <w:rFonts w:ascii="Times New Roman"/>
        </w:rPr>
      </w:pPr>
      <w:r>
        <w:rPr>
          <w:rFonts w:ascii="Times New Roman"/>
        </w:rPr>
        <w:t>试样溶液的制备</w:t>
      </w:r>
    </w:p>
    <w:p>
      <w:r>
        <w:t xml:space="preserve">    </w:t>
      </w:r>
      <w:r>
        <w:rPr>
          <w:rFonts w:hAnsi="宋体"/>
        </w:rPr>
        <w:t>称取含</w:t>
      </w:r>
      <w:r>
        <w:rPr>
          <w:rFonts w:hint="eastAsia" w:hAnsi="宋体"/>
        </w:rPr>
        <w:t>0</w:t>
      </w:r>
      <w:r>
        <w:rPr>
          <w:rFonts w:hAnsi="宋体"/>
        </w:rPr>
        <w:t>.1g</w:t>
      </w:r>
      <w:r>
        <w:rPr>
          <w:rFonts w:hint="eastAsia"/>
        </w:rPr>
        <w:t>吡唑醚菌酯的悬浮剂试样</w:t>
      </w:r>
      <w:r>
        <w:rPr>
          <w:rFonts w:hAnsi="宋体"/>
        </w:rPr>
        <w:t>（精确至</w:t>
      </w:r>
      <w:r>
        <w:t>0.00001g</w:t>
      </w:r>
      <w:r>
        <w:rPr>
          <w:rFonts w:hAnsi="宋体"/>
        </w:rPr>
        <w:t>）于</w:t>
      </w:r>
      <w:r>
        <w:t>50mL</w:t>
      </w:r>
      <w:r>
        <w:rPr>
          <w:rFonts w:hAnsi="宋体"/>
        </w:rPr>
        <w:t>容量瓶中，</w:t>
      </w:r>
      <w:r>
        <w:rPr>
          <w:rFonts w:hint="eastAsia" w:hAnsi="宋体"/>
        </w:rPr>
        <w:t>加入约3</w:t>
      </w:r>
      <w:r>
        <w:rPr>
          <w:rFonts w:hAnsi="宋体"/>
        </w:rPr>
        <w:t>0mL</w:t>
      </w:r>
      <w:r>
        <w:rPr>
          <w:rFonts w:hint="eastAsia" w:hAnsi="宋体"/>
        </w:rPr>
        <w:t>甲醇</w:t>
      </w:r>
      <w:r>
        <w:t>超声</w:t>
      </w:r>
      <w:r>
        <w:rPr>
          <w:rFonts w:hint="eastAsia"/>
        </w:rPr>
        <w:t>振荡5</w:t>
      </w:r>
      <w:r>
        <w:t>min</w:t>
      </w:r>
      <w:r>
        <w:rPr>
          <w:rFonts w:hint="eastAsia"/>
        </w:rPr>
        <w:t>使其</w:t>
      </w:r>
      <w:r>
        <w:rPr>
          <w:rFonts w:hAnsi="宋体"/>
        </w:rPr>
        <w:t>溶解稀释</w:t>
      </w:r>
      <w:r>
        <w:rPr>
          <w:rFonts w:hint="eastAsia" w:hAnsi="宋体"/>
        </w:rPr>
        <w:t>，冷却至室温，用甲醇稀释</w:t>
      </w:r>
      <w:r>
        <w:rPr>
          <w:rFonts w:hAnsi="宋体"/>
        </w:rPr>
        <w:t>至刻度，摇匀</w:t>
      </w:r>
      <w:r>
        <w:rPr>
          <w:rFonts w:hint="eastAsia" w:hAnsi="宋体"/>
        </w:rPr>
        <w:t>。用移液管移取5</w:t>
      </w:r>
      <w:r>
        <w:rPr>
          <w:rFonts w:hAnsi="宋体"/>
        </w:rPr>
        <w:t>mL</w:t>
      </w:r>
      <w:r>
        <w:rPr>
          <w:rFonts w:hint="eastAsia" w:hAnsi="宋体"/>
        </w:rPr>
        <w:t>上述溶液于5</w:t>
      </w:r>
      <w:r>
        <w:rPr>
          <w:rFonts w:hAnsi="宋体"/>
        </w:rPr>
        <w:t>0mL</w:t>
      </w:r>
      <w:r>
        <w:rPr>
          <w:rFonts w:hint="eastAsia" w:hAnsi="宋体"/>
        </w:rPr>
        <w:t>容量瓶中，用甲醇稀释至刻度，摇匀，过滤。</w:t>
      </w:r>
    </w:p>
    <w:p>
      <w:pPr>
        <w:pStyle w:val="95"/>
        <w:spacing w:before="120" w:after="120"/>
        <w:ind w:left="283" w:leftChars="135"/>
        <w:rPr>
          <w:rFonts w:ascii="Times New Roman"/>
        </w:rPr>
      </w:pPr>
      <w:r>
        <w:rPr>
          <w:rFonts w:ascii="Times New Roman"/>
        </w:rPr>
        <w:t>测定</w:t>
      </w:r>
    </w:p>
    <w:p>
      <w:pPr>
        <w:rPr>
          <w:rFonts w:hAnsi="宋体"/>
        </w:rPr>
      </w:pPr>
      <w:r>
        <w:t xml:space="preserve">    </w:t>
      </w:r>
      <w:r>
        <w:rPr>
          <w:rFonts w:hAnsi="宋体"/>
        </w:rPr>
        <w:t>在上述操作条件下，待仪器基线稳定后，连续注入数针标样溶液，直至相邻两针吡唑醚菌酯峰面积响应值相对变化小于</w:t>
      </w:r>
      <w:r>
        <w:t>1.</w:t>
      </w:r>
      <w:r>
        <w:rPr>
          <w:rFonts w:hint="eastAsia"/>
        </w:rPr>
        <w:t>2</w:t>
      </w:r>
      <w:r>
        <w:t>%</w:t>
      </w:r>
      <w:r>
        <w:rPr>
          <w:rFonts w:hAnsi="宋体"/>
        </w:rPr>
        <w:t>后，按照标样溶液、试样溶液、试样溶液、标样溶液的顺序进行测定。</w:t>
      </w:r>
    </w:p>
    <w:p>
      <w:pPr>
        <w:pStyle w:val="95"/>
        <w:spacing w:before="120" w:after="120"/>
        <w:ind w:left="283" w:leftChars="135"/>
        <w:rPr>
          <w:rFonts w:ascii="Times New Roman"/>
        </w:rPr>
      </w:pPr>
      <w:r>
        <w:rPr>
          <w:rFonts w:ascii="Times New Roman"/>
        </w:rPr>
        <w:t>计算</w:t>
      </w:r>
    </w:p>
    <w:p>
      <w:pPr>
        <w:ind w:firstLine="420"/>
        <w:rPr>
          <w:rFonts w:hAnsi="宋体"/>
        </w:rPr>
      </w:pPr>
      <w:r>
        <w:t>将测得的两针</w:t>
      </w:r>
      <w:r>
        <w:rPr>
          <w:rFonts w:hint="eastAsia"/>
        </w:rPr>
        <w:t>试样</w:t>
      </w:r>
      <w:r>
        <w:t>溶液以及</w:t>
      </w:r>
      <w:r>
        <w:rPr>
          <w:rFonts w:hint="eastAsia"/>
        </w:rPr>
        <w:t>试样</w:t>
      </w:r>
      <w:r>
        <w:t>前后两针</w:t>
      </w:r>
      <w:r>
        <w:rPr>
          <w:rFonts w:hint="eastAsia"/>
        </w:rPr>
        <w:t>标样</w:t>
      </w:r>
      <w:r>
        <w:t>溶液中</w:t>
      </w:r>
      <w:r>
        <w:rPr>
          <w:rFonts w:hint="eastAsia"/>
        </w:rPr>
        <w:t>吡唑醚菌酯</w:t>
      </w:r>
      <w:r>
        <w:t>峰面积分别进行平均。</w:t>
      </w:r>
      <w:r>
        <w:rPr>
          <w:rFonts w:hAnsi="宋体"/>
        </w:rPr>
        <w:t>试样中</w:t>
      </w:r>
      <w:r>
        <w:rPr>
          <w:rFonts w:hint="eastAsia"/>
        </w:rPr>
        <w:t>吡唑醚菌酯</w:t>
      </w:r>
      <w:r>
        <w:rPr>
          <w:rFonts w:hAnsi="宋体"/>
        </w:rPr>
        <w:t>的质量分数按式（</w:t>
      </w:r>
      <w:r>
        <w:t>1</w:t>
      </w:r>
      <w:r>
        <w:rPr>
          <w:rFonts w:hAnsi="宋体"/>
        </w:rPr>
        <w:t>）计算：</w:t>
      </w:r>
    </w:p>
    <w:p>
      <w:pPr>
        <w:adjustRightInd/>
        <w:spacing w:before="120" w:beforeLines="50" w:after="120" w:afterLines="50" w:line="240" w:lineRule="auto"/>
        <w:jc w:val="right"/>
        <w:rPr>
          <w:rFonts w:ascii="Cambria Math" w:hAnsi="Cambria Math" w:eastAsiaTheme="minorEastAsia"/>
          <w:iCs/>
          <w:szCs w:val="24"/>
        </w:rPr>
      </w:pPr>
      <m:oMath>
        <m:sSub>
          <m:sSubPr>
            <m:ctrlPr>
              <w:rPr>
                <w:rFonts w:ascii="Cambria Math" w:hAnsi="Cambria Math" w:eastAsia="MS PGothic"/>
                <w:iCs/>
                <w:sz w:val="30"/>
                <w:szCs w:val="30"/>
              </w:rPr>
            </m:ctrlPr>
          </m:sSubPr>
          <m:e>
            <m:r>
              <m:rPr/>
              <w:rPr>
                <w:rFonts w:ascii="Cambria Math" w:hAnsi="Cambria Math"/>
                <w:sz w:val="30"/>
                <w:szCs w:val="30"/>
              </w:rPr>
              <m:t>ω</m:t>
            </m:r>
            <m:ctrlPr>
              <w:rPr>
                <w:rFonts w:ascii="Cambria Math" w:hAnsi="Cambria Math" w:eastAsia="MS PGothic"/>
                <w:iCs/>
                <w:sz w:val="30"/>
                <w:szCs w:val="30"/>
              </w:rPr>
            </m:ctrlPr>
          </m:e>
          <m:sub>
            <m:r>
              <m:rPr>
                <m:sty m:val="p"/>
              </m:rPr>
              <w:rPr>
                <w:rFonts w:ascii="Cambria Math" w:hAnsi="Cambria Math" w:eastAsia="MS PGothic"/>
                <w:sz w:val="30"/>
                <w:szCs w:val="30"/>
              </w:rPr>
              <m:t>1</m:t>
            </m:r>
            <m:ctrlPr>
              <w:rPr>
                <w:rFonts w:ascii="Cambria Math" w:hAnsi="Cambria Math" w:eastAsia="MS PGothic"/>
                <w:iCs/>
                <w:sz w:val="30"/>
                <w:szCs w:val="30"/>
              </w:rPr>
            </m:ctrlPr>
          </m:sub>
        </m:sSub>
        <m:r>
          <m:rPr>
            <m:sty m:val="p"/>
          </m:rPr>
          <w:rPr>
            <w:rFonts w:ascii="Cambria Math" w:hAnsi="Cambria Math" w:eastAsia="MS PGothic"/>
            <w:sz w:val="30"/>
            <w:szCs w:val="30"/>
          </w:rPr>
          <m:t>=</m:t>
        </m:r>
        <m:f>
          <m:fPr>
            <m:ctrlPr>
              <w:rPr>
                <w:rFonts w:ascii="Cambria Math" w:hAnsi="Cambria Math" w:eastAsia="MS PGothic"/>
                <w:iCs/>
                <w:sz w:val="30"/>
                <w:szCs w:val="30"/>
              </w:rPr>
            </m:ctrlPr>
          </m:fPr>
          <m:num>
            <m:sSub>
              <m:sSubPr>
                <m:ctrlPr>
                  <w:rPr>
                    <w:rFonts w:ascii="Cambria Math" w:hAnsi="Cambria Math" w:eastAsia="MS PGothic"/>
                    <w:iCs/>
                    <w:sz w:val="30"/>
                    <w:szCs w:val="30"/>
                  </w:rPr>
                </m:ctrlPr>
              </m:sSubPr>
              <m:e>
                <m:r>
                  <m:rPr>
                    <m:sty m:val="p"/>
                  </m:rPr>
                  <w:rPr>
                    <w:rFonts w:ascii="Cambria Math" w:hAnsi="Cambria Math" w:eastAsia="MS PGothic"/>
                    <w:sz w:val="30"/>
                    <w:szCs w:val="30"/>
                  </w:rPr>
                  <m:t>A</m:t>
                </m:r>
                <m:ctrlPr>
                  <w:rPr>
                    <w:rFonts w:ascii="Cambria Math" w:hAnsi="Cambria Math" w:eastAsia="MS PGothic"/>
                    <w:iCs/>
                    <w:sz w:val="30"/>
                    <w:szCs w:val="30"/>
                  </w:rPr>
                </m:ctrlPr>
              </m:e>
              <m:sub>
                <m:r>
                  <m:rPr>
                    <m:sty m:val="p"/>
                  </m:rPr>
                  <w:rPr>
                    <w:rFonts w:ascii="Cambria Math" w:hAnsi="Cambria Math" w:eastAsia="MS PGothic"/>
                    <w:sz w:val="30"/>
                    <w:szCs w:val="30"/>
                  </w:rPr>
                  <m:t>2</m:t>
                </m:r>
                <m:ctrlPr>
                  <w:rPr>
                    <w:rFonts w:ascii="Cambria Math" w:hAnsi="Cambria Math" w:eastAsia="MS PGothic"/>
                    <w:iCs/>
                    <w:sz w:val="30"/>
                    <w:szCs w:val="30"/>
                  </w:rPr>
                </m:ctrlPr>
              </m:sub>
            </m:sSub>
            <m:r>
              <m:rPr>
                <m:sty m:val="p"/>
              </m:rPr>
              <w:rPr>
                <w:rFonts w:ascii="Cambria Math" w:hAnsi="Cambria Math" w:eastAsia="MS PGothic"/>
                <w:sz w:val="30"/>
                <w:szCs w:val="30"/>
              </w:rPr>
              <m:t>×</m:t>
            </m:r>
            <m:sSub>
              <m:sSubPr>
                <m:ctrlPr>
                  <w:rPr>
                    <w:rFonts w:ascii="Cambria Math" w:hAnsi="Cambria Math" w:eastAsia="MS PGothic"/>
                    <w:iCs/>
                    <w:sz w:val="30"/>
                    <w:szCs w:val="30"/>
                  </w:rPr>
                </m:ctrlPr>
              </m:sSubPr>
              <m:e>
                <m:r>
                  <m:rPr>
                    <m:sty m:val="p"/>
                  </m:rPr>
                  <w:rPr>
                    <w:rFonts w:ascii="Cambria Math" w:hAnsi="Cambria Math" w:eastAsia="MS PGothic"/>
                    <w:sz w:val="30"/>
                    <w:szCs w:val="30"/>
                  </w:rPr>
                  <m:t>m</m:t>
                </m:r>
                <m:ctrlPr>
                  <w:rPr>
                    <w:rFonts w:ascii="Cambria Math" w:hAnsi="Cambria Math" w:eastAsia="MS PGothic"/>
                    <w:iCs/>
                    <w:sz w:val="30"/>
                    <w:szCs w:val="30"/>
                  </w:rPr>
                </m:ctrlPr>
              </m:e>
              <m:sub>
                <m:r>
                  <m:rPr>
                    <m:sty m:val="p"/>
                  </m:rPr>
                  <w:rPr>
                    <w:rFonts w:ascii="Cambria Math" w:hAnsi="Cambria Math" w:eastAsia="MS PGothic"/>
                    <w:sz w:val="30"/>
                    <w:szCs w:val="30"/>
                  </w:rPr>
                  <m:t>1</m:t>
                </m:r>
                <m:ctrlPr>
                  <w:rPr>
                    <w:rFonts w:ascii="Cambria Math" w:hAnsi="Cambria Math" w:eastAsia="MS PGothic"/>
                    <w:iCs/>
                    <w:sz w:val="30"/>
                    <w:szCs w:val="30"/>
                  </w:rPr>
                </m:ctrlPr>
              </m:sub>
            </m:sSub>
            <m:r>
              <m:rPr>
                <m:sty m:val="p"/>
              </m:rPr>
              <w:rPr>
                <w:rFonts w:ascii="Cambria Math" w:hAnsi="Cambria Math" w:eastAsia="MS PGothic"/>
                <w:sz w:val="30"/>
                <w:szCs w:val="30"/>
              </w:rPr>
              <m:t>×</m:t>
            </m:r>
            <m:r>
              <m:rPr/>
              <w:rPr>
                <w:rFonts w:ascii="Cambria Math" w:hAnsi="Cambria Math"/>
                <w:sz w:val="30"/>
                <w:szCs w:val="30"/>
              </w:rPr>
              <m:t>ω</m:t>
            </m:r>
            <m:ctrlPr>
              <w:rPr>
                <w:rFonts w:ascii="Cambria Math" w:hAnsi="Cambria Math" w:eastAsia="MS PGothic"/>
                <w:iCs/>
                <w:sz w:val="30"/>
                <w:szCs w:val="30"/>
              </w:rPr>
            </m:ctrlPr>
          </m:num>
          <m:den>
            <m:sSub>
              <m:sSubPr>
                <m:ctrlPr>
                  <w:rPr>
                    <w:rFonts w:ascii="Cambria Math" w:hAnsi="Cambria Math" w:eastAsia="MS PGothic"/>
                    <w:iCs/>
                    <w:sz w:val="30"/>
                    <w:szCs w:val="30"/>
                  </w:rPr>
                </m:ctrlPr>
              </m:sSubPr>
              <m:e>
                <m:r>
                  <m:rPr>
                    <m:sty m:val="p"/>
                  </m:rPr>
                  <w:rPr>
                    <w:rFonts w:ascii="Cambria Math" w:hAnsi="Cambria Math" w:eastAsia="MS PGothic"/>
                    <w:sz w:val="30"/>
                    <w:szCs w:val="30"/>
                  </w:rPr>
                  <m:t>A</m:t>
                </m:r>
                <m:ctrlPr>
                  <w:rPr>
                    <w:rFonts w:ascii="Cambria Math" w:hAnsi="Cambria Math" w:eastAsia="MS PGothic"/>
                    <w:iCs/>
                    <w:sz w:val="30"/>
                    <w:szCs w:val="30"/>
                  </w:rPr>
                </m:ctrlPr>
              </m:e>
              <m:sub>
                <m:r>
                  <m:rPr>
                    <m:sty m:val="p"/>
                  </m:rPr>
                  <w:rPr>
                    <w:rFonts w:ascii="Cambria Math" w:hAnsi="Cambria Math" w:eastAsia="MS PGothic"/>
                    <w:sz w:val="30"/>
                    <w:szCs w:val="30"/>
                  </w:rPr>
                  <m:t>1</m:t>
                </m:r>
                <m:ctrlPr>
                  <w:rPr>
                    <w:rFonts w:ascii="Cambria Math" w:hAnsi="Cambria Math" w:eastAsia="MS PGothic"/>
                    <w:iCs/>
                    <w:sz w:val="30"/>
                    <w:szCs w:val="30"/>
                  </w:rPr>
                </m:ctrlPr>
              </m:sub>
            </m:sSub>
            <m:r>
              <m:rPr>
                <m:sty m:val="p"/>
              </m:rPr>
              <w:rPr>
                <w:rFonts w:ascii="Cambria Math" w:hAnsi="Cambria Math" w:eastAsia="MS PGothic"/>
                <w:sz w:val="30"/>
                <w:szCs w:val="30"/>
              </w:rPr>
              <m:t>×</m:t>
            </m:r>
            <m:sSub>
              <m:sSubPr>
                <m:ctrlPr>
                  <w:rPr>
                    <w:rFonts w:ascii="Cambria Math" w:hAnsi="Cambria Math" w:eastAsia="MS PGothic"/>
                    <w:iCs/>
                    <w:sz w:val="30"/>
                    <w:szCs w:val="30"/>
                  </w:rPr>
                </m:ctrlPr>
              </m:sSubPr>
              <m:e>
                <m:r>
                  <m:rPr>
                    <m:sty m:val="p"/>
                  </m:rPr>
                  <w:rPr>
                    <w:rFonts w:ascii="Cambria Math" w:hAnsi="Cambria Math" w:eastAsia="MS PGothic"/>
                    <w:sz w:val="30"/>
                    <w:szCs w:val="30"/>
                  </w:rPr>
                  <m:t>m</m:t>
                </m:r>
                <m:ctrlPr>
                  <w:rPr>
                    <w:rFonts w:ascii="Cambria Math" w:hAnsi="Cambria Math" w:eastAsia="MS PGothic"/>
                    <w:iCs/>
                    <w:sz w:val="30"/>
                    <w:szCs w:val="30"/>
                  </w:rPr>
                </m:ctrlPr>
              </m:e>
              <m:sub>
                <m:r>
                  <m:rPr>
                    <m:sty m:val="p"/>
                  </m:rPr>
                  <w:rPr>
                    <w:rFonts w:ascii="Cambria Math" w:hAnsi="Cambria Math" w:eastAsia="MS PGothic"/>
                    <w:sz w:val="30"/>
                    <w:szCs w:val="30"/>
                  </w:rPr>
                  <m:t>2</m:t>
                </m:r>
                <m:ctrlPr>
                  <w:rPr>
                    <w:rFonts w:ascii="Cambria Math" w:hAnsi="Cambria Math" w:eastAsia="MS PGothic"/>
                    <w:iCs/>
                    <w:sz w:val="30"/>
                    <w:szCs w:val="30"/>
                  </w:rPr>
                </m:ctrlPr>
              </m:sub>
            </m:sSub>
            <m:ctrlPr>
              <w:rPr>
                <w:rFonts w:ascii="Cambria Math" w:hAnsi="Cambria Math" w:eastAsia="MS PGothic"/>
                <w:iCs/>
                <w:sz w:val="30"/>
                <w:szCs w:val="30"/>
              </w:rPr>
            </m:ctrlPr>
          </m:den>
        </m:f>
      </m:oMath>
      <w:r>
        <w:t>……………………………………………………………………（1）</w:t>
      </w:r>
    </w:p>
    <w:p>
      <w:pPr>
        <w:spacing w:before="120" w:beforeLines="50" w:after="120" w:afterLines="50"/>
        <w:ind w:firstLine="420"/>
        <w:rPr>
          <w:rFonts w:hAnsi="宋体"/>
        </w:rPr>
      </w:pPr>
      <w:r>
        <w:rPr>
          <w:rFonts w:hAnsi="宋体"/>
        </w:rPr>
        <w:t>式中：</w:t>
      </w:r>
    </w:p>
    <w:p>
      <w:pPr>
        <w:autoSpaceDE w:val="0"/>
        <w:autoSpaceDN w:val="0"/>
        <w:spacing w:line="240" w:lineRule="auto"/>
        <w:ind w:left="567" w:leftChars="270"/>
        <w:jc w:val="left"/>
        <w:rPr>
          <w:rFonts w:ascii="宋体" w:hAnsi="Times New Roman" w:cs="宋体"/>
          <w:color w:val="000000"/>
          <w:kern w:val="0"/>
        </w:rPr>
      </w:pPr>
      <w:r>
        <w:rPr>
          <w:rFonts w:ascii="Times New Roman" w:hAnsi="Times New Roman"/>
          <w:i/>
          <w:iCs/>
          <w:color w:val="000000"/>
          <w:kern w:val="0"/>
        </w:rPr>
        <w:t>ω</w:t>
      </w:r>
      <w:r>
        <w:rPr>
          <w:rFonts w:ascii="Times New Roman" w:hAnsi="Times New Roman"/>
          <w:color w:val="000000"/>
          <w:kern w:val="0"/>
          <w:vertAlign w:val="subscript"/>
        </w:rPr>
        <w:t>1</w:t>
      </w:r>
      <w:r>
        <w:rPr>
          <w:rFonts w:ascii="Times New Roman" w:hAnsi="Times New Roman"/>
          <w:i/>
          <w:iCs/>
          <w:color w:val="000000"/>
          <w:kern w:val="0"/>
        </w:rPr>
        <w:t>——</w:t>
      </w:r>
      <w:r>
        <w:rPr>
          <w:rFonts w:hint="eastAsia" w:ascii="宋体" w:hAnsi="Times New Roman" w:cs="宋体"/>
          <w:color w:val="000000"/>
          <w:kern w:val="0"/>
        </w:rPr>
        <w:t>试样中吡唑醚菌酯的质量分数，以</w:t>
      </w:r>
      <w:r>
        <w:rPr>
          <w:rFonts w:ascii="宋体" w:hAnsi="Times New Roman" w:cs="宋体"/>
          <w:color w:val="000000"/>
          <w:kern w:val="0"/>
        </w:rPr>
        <w:t>%</w:t>
      </w:r>
      <w:r>
        <w:rPr>
          <w:rFonts w:hint="eastAsia" w:ascii="宋体" w:hAnsi="Times New Roman" w:cs="宋体"/>
          <w:color w:val="000000"/>
          <w:kern w:val="0"/>
        </w:rPr>
        <w:t>表示；</w:t>
      </w:r>
      <w:r>
        <w:rPr>
          <w:rFonts w:ascii="宋体" w:hAnsi="Times New Roman" w:cs="宋体"/>
          <w:color w:val="000000"/>
          <w:kern w:val="0"/>
        </w:rPr>
        <w:t xml:space="preserve"> </w:t>
      </w:r>
    </w:p>
    <w:p>
      <w:pPr>
        <w:autoSpaceDE w:val="0"/>
        <w:autoSpaceDN w:val="0"/>
        <w:spacing w:line="240" w:lineRule="auto"/>
        <w:ind w:left="567" w:leftChars="270"/>
        <w:jc w:val="left"/>
        <w:rPr>
          <w:rFonts w:ascii="宋体" w:hAnsi="Times New Roman" w:cs="宋体"/>
          <w:color w:val="000000"/>
          <w:kern w:val="0"/>
        </w:rPr>
      </w:pPr>
      <w:r>
        <w:rPr>
          <w:rFonts w:ascii="宋体" w:hAnsi="Times New Roman" w:cs="宋体"/>
          <w:color w:val="000000"/>
          <w:kern w:val="0"/>
        </w:rPr>
        <w:t>A</w:t>
      </w:r>
      <w:r>
        <w:rPr>
          <w:rFonts w:ascii="宋体" w:hAnsi="Times New Roman" w:cs="宋体"/>
          <w:color w:val="000000"/>
          <w:kern w:val="0"/>
          <w:vertAlign w:val="subscript"/>
        </w:rPr>
        <w:t>2</w:t>
      </w:r>
      <w:r>
        <w:rPr>
          <w:rFonts w:ascii="宋体" w:hAnsi="Times New Roman" w:cs="宋体"/>
          <w:color w:val="000000"/>
          <w:kern w:val="0"/>
        </w:rPr>
        <w:t>——</w:t>
      </w:r>
      <w:r>
        <w:rPr>
          <w:rFonts w:hint="eastAsia" w:ascii="宋体" w:hAnsi="Times New Roman" w:cs="宋体"/>
          <w:color w:val="000000"/>
          <w:kern w:val="0"/>
        </w:rPr>
        <w:t>试样溶液中吡唑醚菌酯峰面积的平均值；</w:t>
      </w:r>
      <w:r>
        <w:rPr>
          <w:rFonts w:ascii="宋体" w:hAnsi="Times New Roman" w:cs="宋体"/>
          <w:color w:val="000000"/>
          <w:kern w:val="0"/>
        </w:rPr>
        <w:t xml:space="preserve"> </w:t>
      </w:r>
    </w:p>
    <w:p>
      <w:pPr>
        <w:autoSpaceDE w:val="0"/>
        <w:autoSpaceDN w:val="0"/>
        <w:spacing w:line="240" w:lineRule="auto"/>
        <w:ind w:left="567" w:leftChars="270"/>
        <w:jc w:val="left"/>
        <w:rPr>
          <w:rFonts w:ascii="宋体" w:hAnsi="Times New Roman" w:cs="宋体"/>
          <w:color w:val="000000"/>
          <w:kern w:val="0"/>
        </w:rPr>
      </w:pPr>
      <w:r>
        <w:rPr>
          <w:rFonts w:ascii="宋体" w:hAnsi="Times New Roman" w:cs="宋体"/>
          <w:color w:val="000000"/>
          <w:kern w:val="0"/>
        </w:rPr>
        <w:t>m</w:t>
      </w:r>
      <w:r>
        <w:rPr>
          <w:rFonts w:ascii="宋体" w:hAnsi="Times New Roman" w:cs="宋体"/>
          <w:color w:val="000000"/>
          <w:kern w:val="0"/>
          <w:vertAlign w:val="subscript"/>
        </w:rPr>
        <w:t>1</w:t>
      </w:r>
      <w:r>
        <w:rPr>
          <w:rFonts w:ascii="宋体" w:hAnsi="Times New Roman" w:cs="宋体"/>
          <w:color w:val="000000"/>
          <w:kern w:val="0"/>
        </w:rPr>
        <w:t>——</w:t>
      </w:r>
      <w:r>
        <w:rPr>
          <w:rFonts w:hint="eastAsia" w:ascii="宋体" w:hAnsi="Times New Roman" w:cs="宋体"/>
          <w:color w:val="000000"/>
          <w:kern w:val="0"/>
        </w:rPr>
        <w:t>标样的质量的数值，单位为克（</w:t>
      </w:r>
      <w:r>
        <w:rPr>
          <w:rFonts w:ascii="宋体" w:hAnsi="Times New Roman" w:cs="宋体"/>
          <w:color w:val="000000"/>
          <w:kern w:val="0"/>
        </w:rPr>
        <w:t>g</w:t>
      </w:r>
      <w:r>
        <w:rPr>
          <w:rFonts w:hint="eastAsia" w:ascii="宋体" w:hAnsi="Times New Roman" w:cs="宋体"/>
          <w:color w:val="000000"/>
          <w:kern w:val="0"/>
        </w:rPr>
        <w:t>）；</w:t>
      </w:r>
      <w:r>
        <w:rPr>
          <w:rFonts w:ascii="宋体" w:hAnsi="Times New Roman" w:cs="宋体"/>
          <w:color w:val="000000"/>
          <w:kern w:val="0"/>
        </w:rPr>
        <w:t xml:space="preserve"> </w:t>
      </w:r>
    </w:p>
    <w:p>
      <w:pPr>
        <w:autoSpaceDE w:val="0"/>
        <w:autoSpaceDN w:val="0"/>
        <w:spacing w:line="240" w:lineRule="auto"/>
        <w:ind w:left="567" w:leftChars="270"/>
        <w:jc w:val="left"/>
        <w:rPr>
          <w:rFonts w:ascii="宋体" w:hAnsi="Times New Roman" w:cs="宋体"/>
          <w:color w:val="000000"/>
          <w:kern w:val="0"/>
        </w:rPr>
      </w:pPr>
      <w:r>
        <w:rPr>
          <w:rFonts w:ascii="Times New Roman" w:hAnsi="Times New Roman"/>
          <w:i/>
          <w:iCs/>
          <w:color w:val="000000"/>
          <w:kern w:val="0"/>
        </w:rPr>
        <w:t>ω ——</w:t>
      </w:r>
      <w:r>
        <w:rPr>
          <w:rFonts w:hint="eastAsia" w:ascii="宋体" w:hAnsi="Times New Roman" w:cs="宋体"/>
          <w:color w:val="000000"/>
          <w:kern w:val="0"/>
        </w:rPr>
        <w:t>标样中吡唑醚菌酯的质量分数，以</w:t>
      </w:r>
      <w:r>
        <w:rPr>
          <w:rFonts w:ascii="宋体" w:hAnsi="Times New Roman" w:cs="宋体"/>
          <w:color w:val="000000"/>
          <w:kern w:val="0"/>
        </w:rPr>
        <w:t>%</w:t>
      </w:r>
      <w:r>
        <w:rPr>
          <w:rFonts w:hint="eastAsia" w:ascii="宋体" w:hAnsi="Times New Roman" w:cs="宋体"/>
          <w:color w:val="000000"/>
          <w:kern w:val="0"/>
        </w:rPr>
        <w:t>表示；</w:t>
      </w:r>
      <w:r>
        <w:rPr>
          <w:rFonts w:ascii="宋体" w:hAnsi="Times New Roman" w:cs="宋体"/>
          <w:color w:val="000000"/>
          <w:kern w:val="0"/>
        </w:rPr>
        <w:t xml:space="preserve"> </w:t>
      </w:r>
    </w:p>
    <w:p>
      <w:pPr>
        <w:autoSpaceDE w:val="0"/>
        <w:autoSpaceDN w:val="0"/>
        <w:spacing w:line="240" w:lineRule="auto"/>
        <w:ind w:left="567" w:leftChars="270"/>
        <w:jc w:val="left"/>
        <w:rPr>
          <w:rFonts w:ascii="宋体" w:hAnsi="Times New Roman" w:cs="宋体"/>
          <w:color w:val="000000"/>
          <w:kern w:val="0"/>
        </w:rPr>
      </w:pPr>
      <w:r>
        <w:rPr>
          <w:rFonts w:ascii="宋体" w:hAnsi="Times New Roman" w:cs="宋体"/>
          <w:color w:val="000000"/>
          <w:kern w:val="0"/>
        </w:rPr>
        <w:t>A</w:t>
      </w:r>
      <w:r>
        <w:rPr>
          <w:rFonts w:ascii="宋体" w:hAnsi="Times New Roman" w:cs="宋体"/>
          <w:color w:val="000000"/>
          <w:kern w:val="0"/>
          <w:vertAlign w:val="subscript"/>
        </w:rPr>
        <w:t>1</w:t>
      </w:r>
      <w:r>
        <w:rPr>
          <w:rFonts w:ascii="宋体" w:hAnsi="Times New Roman" w:cs="宋体"/>
          <w:color w:val="000000"/>
          <w:kern w:val="0"/>
        </w:rPr>
        <w:t>——</w:t>
      </w:r>
      <w:r>
        <w:rPr>
          <w:rFonts w:hint="eastAsia" w:ascii="宋体" w:hAnsi="Times New Roman" w:cs="宋体"/>
          <w:color w:val="000000"/>
          <w:kern w:val="0"/>
        </w:rPr>
        <w:t>标样溶液中吡唑醚菌酯峰面积的平均值；</w:t>
      </w:r>
      <w:r>
        <w:rPr>
          <w:rFonts w:ascii="宋体" w:hAnsi="Times New Roman" w:cs="宋体"/>
          <w:color w:val="000000"/>
          <w:kern w:val="0"/>
        </w:rPr>
        <w:t xml:space="preserve"> </w:t>
      </w:r>
    </w:p>
    <w:p>
      <w:pPr>
        <w:autoSpaceDE w:val="0"/>
        <w:autoSpaceDN w:val="0"/>
        <w:spacing w:line="240" w:lineRule="auto"/>
        <w:ind w:left="567" w:leftChars="270"/>
        <w:jc w:val="left"/>
        <w:rPr>
          <w:rFonts w:ascii="宋体" w:hAnsi="Times New Roman" w:cs="宋体"/>
          <w:color w:val="000000"/>
          <w:kern w:val="0"/>
        </w:rPr>
      </w:pPr>
      <w:r>
        <w:rPr>
          <w:rFonts w:ascii="宋体" w:hAnsi="Times New Roman" w:cs="宋体"/>
          <w:color w:val="000000"/>
          <w:kern w:val="0"/>
        </w:rPr>
        <w:t>m</w:t>
      </w:r>
      <w:r>
        <w:rPr>
          <w:rFonts w:ascii="宋体" w:hAnsi="Times New Roman" w:cs="宋体"/>
          <w:color w:val="000000"/>
          <w:kern w:val="0"/>
          <w:vertAlign w:val="subscript"/>
        </w:rPr>
        <w:t>2</w:t>
      </w:r>
      <w:r>
        <w:rPr>
          <w:rFonts w:ascii="宋体" w:hAnsi="Times New Roman" w:cs="宋体"/>
          <w:color w:val="000000"/>
          <w:kern w:val="0"/>
        </w:rPr>
        <w:t>——</w:t>
      </w:r>
      <w:r>
        <w:rPr>
          <w:rFonts w:hint="eastAsia" w:ascii="宋体" w:hAnsi="Times New Roman" w:cs="宋体"/>
          <w:color w:val="000000"/>
          <w:kern w:val="0"/>
        </w:rPr>
        <w:t>试样的质量的数值，单位为克（</w:t>
      </w:r>
      <w:r>
        <w:rPr>
          <w:rFonts w:ascii="宋体" w:hAnsi="Times New Roman" w:cs="宋体"/>
          <w:color w:val="000000"/>
          <w:kern w:val="0"/>
        </w:rPr>
        <w:t>g</w:t>
      </w:r>
      <w:r>
        <w:rPr>
          <w:rFonts w:hint="eastAsia" w:ascii="宋体" w:hAnsi="Times New Roman" w:cs="宋体"/>
          <w:color w:val="000000"/>
          <w:kern w:val="0"/>
        </w:rPr>
        <w:t>）。</w:t>
      </w:r>
    </w:p>
    <w:p>
      <w:pPr>
        <w:pStyle w:val="66"/>
        <w:spacing w:before="120" w:after="120"/>
        <w:ind w:left="421" w:leftChars="135" w:hanging="138" w:hangingChars="66"/>
        <w:rPr>
          <w:rFonts w:ascii="宋体" w:eastAsia="宋体"/>
          <w:szCs w:val="21"/>
        </w:rPr>
      </w:pPr>
      <w:r>
        <w:rPr>
          <w:rFonts w:ascii="宋体" w:eastAsia="宋体"/>
          <w:szCs w:val="21"/>
        </w:rPr>
        <w:t>允许差</w:t>
      </w:r>
    </w:p>
    <w:p>
      <w:pPr>
        <w:ind w:firstLine="420"/>
        <w:rPr>
          <w:rFonts w:hAnsi="宋体"/>
        </w:rPr>
      </w:pPr>
      <w:r>
        <w:rPr>
          <w:rFonts w:hint="eastAsia" w:ascii="宋体" w:hAnsi="Times New Roman" w:cs="宋体"/>
          <w:color w:val="000000"/>
          <w:kern w:val="0"/>
        </w:rPr>
        <w:t>吡唑醚菌酯质量分数</w:t>
      </w:r>
      <w:r>
        <w:rPr>
          <w:rFonts w:hAnsi="宋体"/>
        </w:rPr>
        <w:t>两次平行测定结果之差应不大于</w:t>
      </w:r>
      <w:r>
        <w:t>0.4%</w:t>
      </w:r>
      <w:r>
        <w:rPr>
          <w:rFonts w:hint="eastAsia"/>
        </w:rPr>
        <w:t>，</w:t>
      </w:r>
      <w:r>
        <w:rPr>
          <w:rFonts w:hAnsi="宋体"/>
        </w:rPr>
        <w:t>取其算术平均值作为测定结果。</w:t>
      </w:r>
    </w:p>
    <w:p>
      <w:pPr>
        <w:pStyle w:val="106"/>
        <w:spacing w:before="120" w:after="120"/>
      </w:pPr>
      <w:r>
        <w:t>pH值的测定</w:t>
      </w:r>
    </w:p>
    <w:p>
      <w:pPr>
        <w:pStyle w:val="232"/>
        <w:ind w:firstLine="0" w:firstLineChars="0"/>
        <w:rPr>
          <w:rFonts w:ascii="Times New Roman"/>
        </w:rPr>
      </w:pPr>
      <w:r>
        <w:rPr>
          <w:rFonts w:ascii="Times New Roman"/>
        </w:rPr>
        <w:t xml:space="preserve">    按GB/T 1601中方法进行测定。</w:t>
      </w:r>
    </w:p>
    <w:p>
      <w:pPr>
        <w:pStyle w:val="106"/>
        <w:spacing w:before="120" w:after="120"/>
      </w:pPr>
      <w:r>
        <w:t>湿筛试验</w:t>
      </w:r>
    </w:p>
    <w:p>
      <w:pPr>
        <w:pStyle w:val="232"/>
        <w:ind w:firstLine="0" w:firstLineChars="0"/>
        <w:rPr>
          <w:rFonts w:ascii="Times New Roman"/>
        </w:rPr>
      </w:pPr>
      <w:r>
        <w:rPr>
          <w:rFonts w:ascii="Times New Roman"/>
        </w:rPr>
        <w:t xml:space="preserve">    按GB/T 16150-1995中2.2</w:t>
      </w:r>
      <w:r>
        <w:rPr>
          <w:rFonts w:hint="eastAsia" w:ascii="Times New Roman"/>
        </w:rPr>
        <w:t>进行</w:t>
      </w:r>
      <w:r>
        <w:rPr>
          <w:rFonts w:ascii="Times New Roman"/>
        </w:rPr>
        <w:t>。</w:t>
      </w:r>
    </w:p>
    <w:p>
      <w:pPr>
        <w:pStyle w:val="106"/>
        <w:spacing w:before="120" w:after="120"/>
      </w:pPr>
      <w:r>
        <w:t>悬浮率的测定</w:t>
      </w:r>
    </w:p>
    <w:p>
      <w:pPr>
        <w:pStyle w:val="237"/>
        <w:spacing w:before="120" w:after="120"/>
        <w:ind w:left="0"/>
      </w:pPr>
      <w:r>
        <w:rPr>
          <w:rFonts w:hint="eastAsia"/>
        </w:rPr>
        <w:t>测定步骤</w:t>
      </w:r>
    </w:p>
    <w:p>
      <w:pPr>
        <w:pStyle w:val="232"/>
        <w:rPr>
          <w:rFonts w:hAnsi="Times New Roman"/>
          <w:szCs w:val="21"/>
        </w:rPr>
      </w:pPr>
      <w:r>
        <w:rPr>
          <w:rFonts w:ascii="Times New Roman"/>
        </w:rPr>
        <w:t>按GB/T 14825-2023中4.2方法进行。</w:t>
      </w:r>
      <w:r>
        <w:rPr>
          <w:rFonts w:hint="eastAsia" w:ascii="Times New Roman"/>
        </w:rPr>
        <w:t>称取</w:t>
      </w:r>
      <w:r>
        <w:rPr>
          <w:rFonts w:ascii="Times New Roman"/>
        </w:rPr>
        <w:t>1.0g试样（精确至0.0001g），</w:t>
      </w:r>
      <w:r>
        <w:rPr>
          <w:rFonts w:hint="eastAsia" w:ascii="Times New Roman"/>
        </w:rPr>
        <w:t>用甲醇</w:t>
      </w:r>
      <w:r>
        <w:rPr>
          <w:rFonts w:hint="eastAsia"/>
          <w:szCs w:val="21"/>
        </w:rPr>
        <w:t>将量筒内剩余的</w:t>
      </w:r>
      <w:r>
        <w:rPr>
          <w:rFonts w:ascii="Times New Roman" w:hAnsi="Times New Roman"/>
          <w:szCs w:val="21"/>
        </w:rPr>
        <w:t xml:space="preserve">25 mL </w:t>
      </w:r>
      <w:r>
        <w:rPr>
          <w:rFonts w:hint="eastAsia" w:hAnsi="Times New Roman"/>
          <w:szCs w:val="21"/>
        </w:rPr>
        <w:t>悬浮液及沉淀全部转移至</w:t>
      </w:r>
      <w:r>
        <w:rPr>
          <w:rFonts w:ascii="Times New Roman" w:hAnsi="Times New Roman"/>
          <w:szCs w:val="21"/>
        </w:rPr>
        <w:t>100 mL</w:t>
      </w:r>
      <w:r>
        <w:rPr>
          <w:rFonts w:hint="eastAsia" w:hAnsi="Times New Roman"/>
          <w:szCs w:val="21"/>
        </w:rPr>
        <w:t>容量瓶中，用</w:t>
      </w:r>
      <w:r>
        <w:rPr>
          <w:rFonts w:ascii="Times New Roman" w:hAnsi="Times New Roman"/>
          <w:szCs w:val="21"/>
        </w:rPr>
        <w:t>60 mL</w:t>
      </w:r>
      <w:r>
        <w:rPr>
          <w:rFonts w:hint="eastAsia" w:hAnsi="Times New Roman"/>
          <w:szCs w:val="21"/>
        </w:rPr>
        <w:t>甲醇分三次洗涤量筒底，洗涤液并入容量瓶，超声振荡</w:t>
      </w:r>
      <w:r>
        <w:rPr>
          <w:rFonts w:ascii="Times New Roman" w:hAnsi="Times New Roman"/>
          <w:szCs w:val="21"/>
        </w:rPr>
        <w:t>5 min</w:t>
      </w:r>
      <w:r>
        <w:rPr>
          <w:rFonts w:hint="eastAsia" w:hAnsi="Times New Roman"/>
          <w:szCs w:val="21"/>
        </w:rPr>
        <w:t>，冷却至室温，用甲醇稀释至刻度，摇匀，过滤。按</w:t>
      </w:r>
      <w:r>
        <w:rPr>
          <w:rFonts w:ascii="Times New Roman" w:hAnsi="Times New Roman"/>
          <w:szCs w:val="21"/>
        </w:rPr>
        <w:t>6.4</w:t>
      </w:r>
      <w:r>
        <w:rPr>
          <w:rFonts w:hint="eastAsia" w:hAnsi="Times New Roman"/>
          <w:szCs w:val="21"/>
        </w:rPr>
        <w:t>测定吡唑醚菌酯的质量，计算悬浮率。</w:t>
      </w:r>
    </w:p>
    <w:p>
      <w:pPr>
        <w:pStyle w:val="106"/>
        <w:spacing w:before="120" w:after="120"/>
      </w:pPr>
      <w:r>
        <w:t>倾倒性</w:t>
      </w:r>
      <w:r>
        <w:rPr>
          <w:rFonts w:hint="eastAsia"/>
        </w:rPr>
        <w:t>的测定</w:t>
      </w:r>
    </w:p>
    <w:p>
      <w:pPr>
        <w:pStyle w:val="232"/>
        <w:rPr>
          <w:rFonts w:ascii="Times New Roman"/>
          <w:bCs/>
          <w:szCs w:val="21"/>
        </w:rPr>
      </w:pPr>
      <w:r>
        <w:rPr>
          <w:rFonts w:hint="eastAsia" w:ascii="Times New Roman"/>
        </w:rPr>
        <w:t>按</w:t>
      </w:r>
      <w:r>
        <w:rPr>
          <w:rFonts w:ascii="Times New Roman"/>
          <w:bCs/>
          <w:szCs w:val="21"/>
        </w:rPr>
        <w:t>中GB/T 31737</w:t>
      </w:r>
      <w:r>
        <w:rPr>
          <w:rFonts w:hint="eastAsia" w:ascii="Times New Roman"/>
          <w:bCs/>
          <w:szCs w:val="21"/>
        </w:rPr>
        <w:t>-2015</w:t>
      </w:r>
      <w:r>
        <w:rPr>
          <w:rFonts w:ascii="Times New Roman"/>
          <w:bCs/>
          <w:szCs w:val="21"/>
        </w:rPr>
        <w:t>进行</w:t>
      </w:r>
      <w:r>
        <w:rPr>
          <w:rFonts w:hint="eastAsia" w:ascii="Times New Roman"/>
          <w:bCs/>
          <w:szCs w:val="21"/>
        </w:rPr>
        <w:t>。</w:t>
      </w:r>
    </w:p>
    <w:p>
      <w:pPr>
        <w:pStyle w:val="106"/>
        <w:spacing w:before="120" w:after="120"/>
      </w:pPr>
      <w:r>
        <w:t>持久起泡性</w:t>
      </w:r>
      <w:r>
        <w:rPr>
          <w:rFonts w:hint="eastAsia"/>
        </w:rPr>
        <w:t>的测定</w:t>
      </w:r>
    </w:p>
    <w:p>
      <w:pPr>
        <w:pStyle w:val="232"/>
        <w:ind w:firstLine="0" w:firstLineChars="0"/>
        <w:rPr>
          <w:rFonts w:ascii="Times New Roman"/>
        </w:rPr>
      </w:pPr>
      <w:r>
        <w:rPr>
          <w:rFonts w:ascii="Times New Roman"/>
        </w:rPr>
        <w:t xml:space="preserve">    按GB/T 28137-2011</w:t>
      </w:r>
      <w:r>
        <w:rPr>
          <w:rFonts w:hint="eastAsia" w:ascii="Times New Roman"/>
        </w:rPr>
        <w:t>进行。</w:t>
      </w:r>
    </w:p>
    <w:p>
      <w:pPr>
        <w:pStyle w:val="106"/>
        <w:spacing w:before="120" w:after="120"/>
      </w:pPr>
      <w:r>
        <w:t>低温稳定性</w:t>
      </w:r>
      <w:r>
        <w:rPr>
          <w:rFonts w:hint="eastAsia"/>
        </w:rPr>
        <w:t>试验</w:t>
      </w:r>
    </w:p>
    <w:p>
      <w:pPr>
        <w:ind w:firstLine="420"/>
      </w:pPr>
      <w:r>
        <w:t>按GB/T 19137-2003中</w:t>
      </w:r>
      <w:r>
        <w:rPr>
          <w:rFonts w:hint="eastAsia"/>
        </w:rPr>
        <w:t>2</w:t>
      </w:r>
      <w:r>
        <w:t>.2方法进行。</w:t>
      </w:r>
      <w:r>
        <w:rPr>
          <w:rFonts w:hAnsi="宋体"/>
        </w:rPr>
        <w:t>悬浮率和湿筛试验符合标准要求为合格。</w:t>
      </w:r>
    </w:p>
    <w:p>
      <w:pPr>
        <w:pStyle w:val="106"/>
        <w:spacing w:before="120" w:after="120"/>
      </w:pPr>
      <w:r>
        <w:t>热储稳定性测定</w:t>
      </w:r>
    </w:p>
    <w:p>
      <w:pPr>
        <w:ind w:firstLine="420"/>
      </w:pPr>
      <w:r>
        <w:rPr>
          <w:rFonts w:hAnsi="宋体"/>
        </w:rPr>
        <w:t>按</w:t>
      </w:r>
      <w:r>
        <w:t>GB/T 19136-2021</w:t>
      </w:r>
      <w:r>
        <w:rPr>
          <w:rFonts w:hAnsi="宋体"/>
        </w:rPr>
        <w:t>中</w:t>
      </w:r>
      <w:r>
        <w:rPr>
          <w:rFonts w:hint="eastAsia" w:hAnsi="宋体"/>
        </w:rPr>
        <w:t>2</w:t>
      </w:r>
      <w:r>
        <w:rPr>
          <w:rFonts w:hAnsi="宋体"/>
        </w:rPr>
        <w:t>.3进行。将样品放置在（</w:t>
      </w:r>
      <w:r>
        <w:t>54±2</w:t>
      </w:r>
      <w:r>
        <w:rPr>
          <w:rFonts w:hAnsi="宋体"/>
        </w:rPr>
        <w:t>）</w:t>
      </w:r>
      <w:r>
        <w:rPr>
          <w:rFonts w:ascii="宋体" w:hAnsi="宋体"/>
        </w:rPr>
        <w:t>℃</w:t>
      </w:r>
      <w:r>
        <w:rPr>
          <w:rFonts w:hAnsi="宋体"/>
        </w:rPr>
        <w:t>下，贮存</w:t>
      </w:r>
      <w:r>
        <w:t>14</w:t>
      </w:r>
      <w:r>
        <w:rPr>
          <w:rFonts w:hAnsi="宋体"/>
        </w:rPr>
        <w:t>天，</w:t>
      </w:r>
      <w:r>
        <w:t>14</w:t>
      </w:r>
      <w:r>
        <w:rPr>
          <w:rFonts w:hAnsi="宋体"/>
        </w:rPr>
        <w:t>天后在</w:t>
      </w:r>
      <w:r>
        <w:t>24h</w:t>
      </w:r>
      <w:r>
        <w:rPr>
          <w:rFonts w:hAnsi="宋体"/>
        </w:rPr>
        <w:t>内完成对有效成分质量分数</w:t>
      </w:r>
      <w:r>
        <w:rPr>
          <w:rFonts w:hint="eastAsia" w:hAnsi="宋体"/>
        </w:rPr>
        <w:t>、</w:t>
      </w:r>
      <w:r>
        <w:rPr>
          <w:rFonts w:hAnsi="宋体"/>
        </w:rPr>
        <w:t>悬浮率</w:t>
      </w:r>
      <w:r>
        <w:rPr>
          <w:rFonts w:hint="eastAsia" w:hAnsi="宋体"/>
        </w:rPr>
        <w:t>等</w:t>
      </w:r>
      <w:r>
        <w:rPr>
          <w:rFonts w:hAnsi="宋体"/>
        </w:rPr>
        <w:t>指标的测定</w:t>
      </w:r>
      <w:r>
        <w:rPr>
          <w:rFonts w:hint="eastAsia" w:hAnsi="宋体"/>
        </w:rPr>
        <w:t>。</w:t>
      </w:r>
      <w:r>
        <w:rPr>
          <w:rFonts w:hint="eastAsia"/>
        </w:rPr>
        <w:t>吡唑醚菌酯</w:t>
      </w:r>
      <w:r>
        <w:rPr>
          <w:rFonts w:hAnsi="宋体"/>
        </w:rPr>
        <w:t>有效成分相对分解率不大于</w:t>
      </w:r>
      <w:r>
        <w:t>5%</w:t>
      </w:r>
      <w:r>
        <w:rPr>
          <w:rFonts w:hint="eastAsia" w:hAnsi="宋体"/>
        </w:rPr>
        <w:t>，悬浮率、pH值、倾倒性、湿筛试验应符合标准要求为合格</w:t>
      </w:r>
      <w:r>
        <w:rPr>
          <w:rFonts w:hAnsi="宋体"/>
        </w:rPr>
        <w:t>。</w:t>
      </w:r>
    </w:p>
    <w:p>
      <w:pPr>
        <w:pStyle w:val="105"/>
        <w:spacing w:before="240" w:after="240"/>
      </w:pPr>
      <w:bookmarkStart w:id="84" w:name="_Toc56420228"/>
      <w:bookmarkStart w:id="85" w:name="_Toc50550152"/>
      <w:bookmarkStart w:id="86" w:name="_Toc50550612"/>
      <w:bookmarkStart w:id="87" w:name="_Toc56421306"/>
      <w:bookmarkStart w:id="88" w:name="_Toc50559084"/>
      <w:bookmarkStart w:id="89" w:name="_Toc79398768"/>
      <w:bookmarkStart w:id="90" w:name="_Toc55826610"/>
      <w:bookmarkStart w:id="91" w:name="_Toc75767636"/>
      <w:bookmarkStart w:id="92" w:name="_Toc81040478"/>
      <w:bookmarkStart w:id="93" w:name="_Toc80801162"/>
      <w:bookmarkStart w:id="94" w:name="_Toc50550125"/>
      <w:bookmarkStart w:id="95" w:name="_Toc50558682"/>
      <w:bookmarkStart w:id="96" w:name="_Toc43816171"/>
      <w:bookmarkStart w:id="97" w:name="_Toc81316128"/>
      <w:bookmarkStart w:id="98" w:name="_Toc56456272"/>
      <w:bookmarkStart w:id="99" w:name="_Toc81310507"/>
      <w:bookmarkStart w:id="100" w:name="_Toc55823819"/>
      <w:r>
        <w:rPr>
          <w:rFonts w:hint="eastAsia"/>
        </w:rPr>
        <w:t>检验规则</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pPr>
        <w:pStyle w:val="106"/>
        <w:spacing w:before="120" w:after="120"/>
        <w:rPr>
          <w:rFonts w:cs="黑体"/>
        </w:rPr>
      </w:pPr>
      <w:r>
        <w:rPr>
          <w:rFonts w:hint="eastAsia" w:cs="黑体"/>
        </w:rPr>
        <w:t>组批</w:t>
      </w:r>
    </w:p>
    <w:p>
      <w:pPr>
        <w:pStyle w:val="57"/>
        <w:ind w:firstLine="420"/>
        <w:rPr>
          <w:rFonts w:cs="宋体"/>
        </w:rPr>
      </w:pPr>
      <w:r>
        <w:rPr>
          <w:rFonts w:hint="eastAsia" w:cs="宋体"/>
        </w:rPr>
        <w:t>使用同一批号的原料，在同一班次和同一生产线上生产出来的同一品种和同一规格的产品，为一个批次。</w:t>
      </w:r>
    </w:p>
    <w:p>
      <w:pPr>
        <w:pStyle w:val="106"/>
        <w:spacing w:before="120" w:after="120"/>
        <w:rPr>
          <w:rFonts w:cs="黑体"/>
        </w:rPr>
      </w:pPr>
      <w:r>
        <w:rPr>
          <w:rFonts w:hint="eastAsia" w:cs="黑体"/>
        </w:rPr>
        <w:t>检验分类</w:t>
      </w:r>
    </w:p>
    <w:p>
      <w:pPr>
        <w:pStyle w:val="57"/>
        <w:ind w:firstLine="420"/>
        <w:rPr>
          <w:rFonts w:cs="宋体"/>
        </w:rPr>
      </w:pPr>
      <w:r>
        <w:rPr>
          <w:rFonts w:hint="eastAsia" w:cs="宋体"/>
        </w:rPr>
        <w:t>检验分出厂检验和型式检验。</w:t>
      </w:r>
    </w:p>
    <w:p>
      <w:pPr>
        <w:pStyle w:val="66"/>
        <w:spacing w:before="120" w:after="120"/>
        <w:ind w:left="423" w:leftChars="135" w:hanging="140" w:hangingChars="67"/>
        <w:jc w:val="left"/>
      </w:pPr>
      <w:r>
        <w:rPr>
          <w:rFonts w:hint="eastAsia"/>
        </w:rPr>
        <w:t>出厂检验</w:t>
      </w:r>
    </w:p>
    <w:p>
      <w:pPr>
        <w:pStyle w:val="57"/>
        <w:ind w:firstLine="420"/>
      </w:pPr>
      <w:r>
        <w:rPr>
          <w:rFonts w:hint="eastAsia" w:cs="宋体"/>
        </w:rPr>
        <w:t>应逐批进行出厂检验，检验项目按表</w:t>
      </w:r>
      <w:r>
        <w:rPr>
          <w:rFonts w:cs="宋体"/>
        </w:rPr>
        <w:t>3</w:t>
      </w:r>
      <w:r>
        <w:rPr>
          <w:rFonts w:hint="eastAsia" w:cs="宋体"/>
        </w:rPr>
        <w:t>规定的出厂检验项目进行。</w:t>
      </w:r>
    </w:p>
    <w:p>
      <w:pPr>
        <w:pStyle w:val="66"/>
        <w:spacing w:before="120" w:after="120"/>
        <w:ind w:left="423" w:leftChars="135" w:hanging="140" w:hangingChars="67"/>
        <w:jc w:val="left"/>
      </w:pPr>
      <w:r>
        <w:rPr>
          <w:rFonts w:hint="eastAsia"/>
        </w:rPr>
        <w:t>型式检验</w:t>
      </w:r>
    </w:p>
    <w:p>
      <w:pPr>
        <w:pStyle w:val="57"/>
        <w:ind w:firstLine="420"/>
        <w:rPr>
          <w:rFonts w:cs="宋体"/>
        </w:rPr>
      </w:pPr>
      <w:r>
        <w:rPr>
          <w:rFonts w:hint="eastAsia" w:cs="宋体"/>
        </w:rPr>
        <w:t>型式检验项目见表</w:t>
      </w:r>
      <w:r>
        <w:rPr>
          <w:rFonts w:cs="宋体"/>
        </w:rPr>
        <w:t>3</w:t>
      </w:r>
      <w:r>
        <w:rPr>
          <w:rFonts w:hint="eastAsia" w:cs="宋体"/>
        </w:rPr>
        <w:t>，正常情况下</w:t>
      </w:r>
      <w:r>
        <w:rPr>
          <w:rFonts w:cs="宋体"/>
        </w:rPr>
        <w:t>6</w:t>
      </w:r>
      <w:r>
        <w:rPr>
          <w:rFonts w:hint="eastAsia" w:cs="宋体"/>
        </w:rPr>
        <w:t>个月检验一次，有下列情形之一时，应进行型式检验：</w:t>
      </w:r>
    </w:p>
    <w:p>
      <w:pPr>
        <w:pStyle w:val="57"/>
        <w:ind w:firstLine="420"/>
        <w:rPr>
          <w:rFonts w:cs="宋体"/>
        </w:rPr>
      </w:pPr>
      <w:r>
        <w:rPr>
          <w:rFonts w:cs="宋体"/>
        </w:rPr>
        <w:t xml:space="preserve">a) </w:t>
      </w:r>
      <w:r>
        <w:rPr>
          <w:rFonts w:hint="eastAsia" w:cs="宋体"/>
        </w:rPr>
        <w:t>当本产品的原料、工艺、设备有大的改变，可能影响产品的质量时；</w:t>
      </w:r>
    </w:p>
    <w:p>
      <w:pPr>
        <w:pStyle w:val="57"/>
        <w:ind w:firstLine="420"/>
        <w:rPr>
          <w:rFonts w:cs="宋体"/>
        </w:rPr>
      </w:pPr>
      <w:r>
        <w:rPr>
          <w:rFonts w:cs="宋体"/>
        </w:rPr>
        <w:t xml:space="preserve">b) </w:t>
      </w:r>
      <w:r>
        <w:rPr>
          <w:rFonts w:hint="eastAsia" w:cs="宋体"/>
        </w:rPr>
        <w:t>产品停产</w:t>
      </w:r>
      <w:r>
        <w:rPr>
          <w:rFonts w:cs="宋体"/>
        </w:rPr>
        <w:t>6</w:t>
      </w:r>
      <w:r>
        <w:rPr>
          <w:rFonts w:hint="eastAsia" w:cs="宋体"/>
        </w:rPr>
        <w:t>个月后，恢复生产时；</w:t>
      </w:r>
    </w:p>
    <w:p>
      <w:pPr>
        <w:pStyle w:val="57"/>
        <w:ind w:firstLine="420"/>
        <w:rPr>
          <w:rFonts w:cs="宋体"/>
        </w:rPr>
      </w:pPr>
      <w:r>
        <w:rPr>
          <w:rFonts w:cs="宋体"/>
        </w:rPr>
        <w:t xml:space="preserve">c) </w:t>
      </w:r>
      <w:r>
        <w:rPr>
          <w:rFonts w:hint="eastAsia" w:cs="宋体"/>
        </w:rPr>
        <w:t>出厂检验结果与上述型式检验有较大差异时；</w:t>
      </w:r>
    </w:p>
    <w:p>
      <w:pPr>
        <w:pStyle w:val="57"/>
        <w:ind w:firstLine="420"/>
        <w:rPr>
          <w:rFonts w:cs="宋体"/>
        </w:rPr>
      </w:pPr>
      <w:r>
        <w:rPr>
          <w:rFonts w:cs="宋体"/>
        </w:rPr>
        <w:t xml:space="preserve">d) </w:t>
      </w:r>
      <w:r>
        <w:rPr>
          <w:rFonts w:hint="eastAsia" w:cs="宋体"/>
        </w:rPr>
        <w:t>当用户对产品质量有较大的异议时；</w:t>
      </w:r>
    </w:p>
    <w:p>
      <w:pPr>
        <w:pStyle w:val="57"/>
        <w:ind w:firstLine="420"/>
        <w:rPr>
          <w:rFonts w:cs="宋体"/>
        </w:rPr>
      </w:pPr>
      <w:r>
        <w:rPr>
          <w:rFonts w:cs="宋体"/>
        </w:rPr>
        <w:t xml:space="preserve">e) </w:t>
      </w:r>
      <w:r>
        <w:rPr>
          <w:rFonts w:hint="eastAsia" w:cs="宋体"/>
        </w:rPr>
        <w:t>当质量监督管理机构提出要求时。</w:t>
      </w:r>
    </w:p>
    <w:p>
      <w:pPr>
        <w:pStyle w:val="166"/>
        <w:numPr>
          <w:ilvl w:val="0"/>
          <w:numId w:val="0"/>
        </w:numPr>
        <w:spacing w:before="120" w:beforeLines="50" w:after="120" w:afterLines="50"/>
        <w:jc w:val="center"/>
        <w:rPr>
          <w:rFonts w:cs="宋体"/>
        </w:rPr>
      </w:pPr>
      <w:r>
        <w:rPr>
          <w:rFonts w:hint="eastAsia" w:cs="宋体"/>
        </w:rPr>
        <w:t>表</w:t>
      </w:r>
      <w:r>
        <w:rPr>
          <w:rFonts w:cs="宋体"/>
        </w:rPr>
        <w:t>3</w:t>
      </w:r>
      <w:r>
        <w:rPr>
          <w:rFonts w:hint="eastAsia" w:cs="宋体"/>
        </w:rPr>
        <w:t xml:space="preserve"> 检验项目</w:t>
      </w:r>
    </w:p>
    <w:tbl>
      <w:tblPr>
        <w:tblStyle w:val="27"/>
        <w:tblW w:w="5001"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6"/>
        <w:gridCol w:w="2033"/>
        <w:gridCol w:w="871"/>
        <w:gridCol w:w="2033"/>
        <w:gridCol w:w="1888"/>
        <w:gridCol w:w="1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trPr>
        <w:tc>
          <w:tcPr>
            <w:tcW w:w="3006" w:type="dxa"/>
            <w:gridSpan w:val="2"/>
            <w:vMerge w:val="restart"/>
            <w:vAlign w:val="center"/>
          </w:tcPr>
          <w:p>
            <w:pPr>
              <w:jc w:val="center"/>
              <w:rPr>
                <w:rFonts w:ascii="Times New Roman" w:hAnsi="Times New Roman"/>
                <w:color w:val="000000"/>
                <w:sz w:val="18"/>
              </w:rPr>
            </w:pPr>
            <w:r>
              <w:rPr>
                <w:rFonts w:ascii="Times New Roman" w:hAnsi="Times New Roman"/>
                <w:color w:val="000000"/>
                <w:sz w:val="18"/>
              </w:rPr>
              <w:t>项  　　 目</w:t>
            </w:r>
          </w:p>
        </w:tc>
        <w:tc>
          <w:tcPr>
            <w:tcW w:w="850" w:type="dxa"/>
            <w:vMerge w:val="restart"/>
            <w:vAlign w:val="center"/>
          </w:tcPr>
          <w:p>
            <w:pPr>
              <w:jc w:val="center"/>
              <w:rPr>
                <w:rFonts w:ascii="Times New Roman" w:hAnsi="Times New Roman"/>
                <w:color w:val="000000"/>
                <w:sz w:val="18"/>
              </w:rPr>
            </w:pPr>
            <w:r>
              <w:rPr>
                <w:rFonts w:hint="eastAsia" w:ascii="Times New Roman" w:hAnsi="Times New Roman"/>
                <w:color w:val="000000"/>
                <w:sz w:val="18"/>
              </w:rPr>
              <w:t>要求</w:t>
            </w:r>
          </w:p>
        </w:tc>
        <w:tc>
          <w:tcPr>
            <w:tcW w:w="1985" w:type="dxa"/>
            <w:vMerge w:val="restart"/>
            <w:vAlign w:val="center"/>
          </w:tcPr>
          <w:p>
            <w:pPr>
              <w:jc w:val="center"/>
              <w:rPr>
                <w:rFonts w:ascii="Times New Roman" w:hAnsi="Times New Roman"/>
                <w:color w:val="000000"/>
                <w:sz w:val="18"/>
              </w:rPr>
            </w:pPr>
            <w:r>
              <w:rPr>
                <w:rFonts w:hint="eastAsia" w:ascii="Times New Roman" w:hAnsi="Times New Roman"/>
                <w:color w:val="000000"/>
                <w:sz w:val="18"/>
              </w:rPr>
              <w:t>试验方法</w:t>
            </w:r>
          </w:p>
        </w:tc>
        <w:tc>
          <w:tcPr>
            <w:tcW w:w="3505" w:type="dxa"/>
            <w:gridSpan w:val="2"/>
            <w:vAlign w:val="center"/>
          </w:tcPr>
          <w:p>
            <w:pPr>
              <w:jc w:val="center"/>
              <w:rPr>
                <w:rFonts w:ascii="Times New Roman" w:hAnsi="Times New Roman"/>
                <w:color w:val="000000"/>
                <w:sz w:val="18"/>
              </w:rPr>
            </w:pPr>
            <w:r>
              <w:rPr>
                <w:rFonts w:hint="eastAsia" w:ascii="Times New Roman" w:hAnsi="Times New Roman"/>
                <w:color w:val="000000"/>
                <w:sz w:val="18"/>
              </w:rPr>
              <w:t>检验类别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exact"/>
        </w:trPr>
        <w:tc>
          <w:tcPr>
            <w:tcW w:w="3006" w:type="dxa"/>
            <w:gridSpan w:val="2"/>
            <w:vMerge w:val="continue"/>
            <w:vAlign w:val="center"/>
          </w:tcPr>
          <w:p>
            <w:pPr>
              <w:jc w:val="center"/>
              <w:rPr>
                <w:rFonts w:ascii="Times New Roman" w:hAnsi="Times New Roman"/>
                <w:color w:val="000000"/>
                <w:sz w:val="18"/>
              </w:rPr>
            </w:pPr>
          </w:p>
        </w:tc>
        <w:tc>
          <w:tcPr>
            <w:tcW w:w="850" w:type="dxa"/>
            <w:vMerge w:val="continue"/>
            <w:vAlign w:val="center"/>
          </w:tcPr>
          <w:p>
            <w:pPr>
              <w:jc w:val="center"/>
              <w:rPr>
                <w:rFonts w:ascii="Times New Roman" w:hAnsi="Times New Roman"/>
                <w:color w:val="000000"/>
                <w:sz w:val="18"/>
              </w:rPr>
            </w:pPr>
          </w:p>
        </w:tc>
        <w:tc>
          <w:tcPr>
            <w:tcW w:w="1985" w:type="dxa"/>
            <w:vMerge w:val="continue"/>
            <w:vAlign w:val="center"/>
          </w:tcPr>
          <w:p>
            <w:pPr>
              <w:jc w:val="center"/>
              <w:rPr>
                <w:rFonts w:ascii="Times New Roman" w:hAnsi="Times New Roman"/>
                <w:color w:val="000000"/>
                <w:sz w:val="18"/>
              </w:rPr>
            </w:pPr>
          </w:p>
        </w:tc>
        <w:tc>
          <w:tcPr>
            <w:tcW w:w="1843" w:type="dxa"/>
            <w:vAlign w:val="center"/>
          </w:tcPr>
          <w:p>
            <w:pPr>
              <w:jc w:val="center"/>
              <w:rPr>
                <w:rFonts w:ascii="Times New Roman" w:hAnsi="Times New Roman"/>
                <w:color w:val="000000"/>
                <w:sz w:val="18"/>
              </w:rPr>
            </w:pPr>
            <w:r>
              <w:rPr>
                <w:rFonts w:hint="eastAsia" w:cs="宋体"/>
              </w:rPr>
              <w:t>出厂检验</w:t>
            </w:r>
          </w:p>
        </w:tc>
        <w:tc>
          <w:tcPr>
            <w:tcW w:w="1662" w:type="dxa"/>
            <w:vAlign w:val="center"/>
          </w:tcPr>
          <w:p>
            <w:pPr>
              <w:jc w:val="center"/>
              <w:rPr>
                <w:rFonts w:ascii="Times New Roman" w:hAnsi="Times New Roman"/>
                <w:color w:val="000000"/>
                <w:sz w:val="18"/>
              </w:rPr>
            </w:pPr>
            <w:r>
              <w:rPr>
                <w:rFonts w:hint="eastAsia" w:cs="宋体"/>
              </w:rPr>
              <w:t>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3006" w:type="dxa"/>
            <w:gridSpan w:val="2"/>
            <w:vAlign w:val="center"/>
          </w:tcPr>
          <w:p>
            <w:pPr>
              <w:jc w:val="center"/>
              <w:rPr>
                <w:rFonts w:ascii="Times New Roman" w:hAnsi="Times New Roman"/>
                <w:color w:val="000000"/>
                <w:sz w:val="18"/>
              </w:rPr>
            </w:pPr>
            <w:r>
              <w:rPr>
                <w:rFonts w:hint="eastAsia" w:ascii="Times New Roman" w:hAnsi="Times New Roman"/>
                <w:color w:val="000000"/>
                <w:sz w:val="18"/>
              </w:rPr>
              <w:t>外观</w:t>
            </w:r>
          </w:p>
        </w:tc>
        <w:tc>
          <w:tcPr>
            <w:tcW w:w="850" w:type="dxa"/>
            <w:vAlign w:val="center"/>
          </w:tcPr>
          <w:p>
            <w:pPr>
              <w:jc w:val="center"/>
              <w:rPr>
                <w:rFonts w:ascii="Times New Roman" w:hAnsi="Times New Roman"/>
                <w:color w:val="000000"/>
              </w:rPr>
            </w:pPr>
            <w:r>
              <w:rPr>
                <w:rFonts w:ascii="Times New Roman" w:hAnsi="Times New Roman"/>
                <w:color w:val="000000"/>
              </w:rPr>
              <w:t>5.1</w:t>
            </w:r>
          </w:p>
        </w:tc>
        <w:tc>
          <w:tcPr>
            <w:tcW w:w="1985" w:type="dxa"/>
            <w:vAlign w:val="center"/>
          </w:tcPr>
          <w:p>
            <w:pPr>
              <w:jc w:val="center"/>
              <w:rPr>
                <w:rFonts w:ascii="Times New Roman" w:hAnsi="Times New Roman"/>
                <w:color w:val="000000"/>
              </w:rPr>
            </w:pPr>
            <w:r>
              <w:rPr>
                <w:rFonts w:ascii="Times New Roman" w:hAnsi="Times New Roman"/>
                <w:color w:val="000000"/>
              </w:rPr>
              <w:t>6.4</w:t>
            </w:r>
          </w:p>
        </w:tc>
        <w:tc>
          <w:tcPr>
            <w:tcW w:w="1843" w:type="dxa"/>
            <w:vAlign w:val="center"/>
          </w:tcPr>
          <w:p>
            <w:pPr>
              <w:jc w:val="center"/>
              <w:rPr>
                <w:rFonts w:ascii="Times New Roman" w:hAnsi="Times New Roman"/>
                <w:color w:val="000000"/>
                <w:sz w:val="18"/>
              </w:rPr>
            </w:pPr>
            <w:r>
              <w:rPr>
                <w:rFonts w:hint="eastAsia" w:ascii="宋体" w:cs="宋体"/>
                <w:kern w:val="0"/>
                <w:sz w:val="18"/>
                <w:szCs w:val="18"/>
              </w:rPr>
              <w:t>√</w:t>
            </w:r>
          </w:p>
        </w:tc>
        <w:tc>
          <w:tcPr>
            <w:tcW w:w="1662" w:type="dxa"/>
            <w:vAlign w:val="center"/>
          </w:tcPr>
          <w:p>
            <w:pPr>
              <w:jc w:val="center"/>
              <w:rPr>
                <w:rFonts w:ascii="Times New Roman" w:hAnsi="Times New Roman"/>
                <w:color w:val="000000"/>
                <w:sz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3006" w:type="dxa"/>
            <w:gridSpan w:val="2"/>
            <w:vAlign w:val="center"/>
          </w:tcPr>
          <w:p>
            <w:pPr>
              <w:rPr>
                <w:rFonts w:ascii="Times New Roman" w:hAnsi="Times New Roman"/>
                <w:color w:val="000000"/>
                <w:sz w:val="18"/>
                <w:szCs w:val="18"/>
              </w:rPr>
            </w:pPr>
            <w:r>
              <w:rPr>
                <w:rFonts w:hint="eastAsia" w:ascii="Times New Roman" w:hAnsi="Times New Roman"/>
                <w:color w:val="000000"/>
                <w:sz w:val="18"/>
                <w:szCs w:val="18"/>
              </w:rPr>
              <w:t>吡唑醚菌酯</w:t>
            </w:r>
            <w:r>
              <w:rPr>
                <w:rFonts w:ascii="Times New Roman" w:hAnsi="Times New Roman"/>
                <w:color w:val="000000"/>
                <w:sz w:val="18"/>
                <w:szCs w:val="18"/>
              </w:rPr>
              <w:t>质量</w:t>
            </w:r>
            <w:r>
              <w:rPr>
                <w:rFonts w:hint="eastAsia" w:ascii="Times New Roman" w:hAnsi="Times New Roman"/>
                <w:color w:val="000000"/>
                <w:sz w:val="18"/>
                <w:szCs w:val="18"/>
              </w:rPr>
              <w:t>分数/%</w:t>
            </w:r>
          </w:p>
        </w:tc>
        <w:tc>
          <w:tcPr>
            <w:tcW w:w="850" w:type="dxa"/>
            <w:vMerge w:val="restart"/>
            <w:vAlign w:val="center"/>
          </w:tcPr>
          <w:p>
            <w:pPr>
              <w:jc w:val="center"/>
              <w:rPr>
                <w:rFonts w:ascii="Times New Roman" w:hAnsi="Times New Roman"/>
                <w:color w:val="000000"/>
              </w:rPr>
            </w:pPr>
            <w:r>
              <w:rPr>
                <w:rFonts w:ascii="Times New Roman" w:hAnsi="Times New Roman"/>
                <w:color w:val="000000"/>
              </w:rPr>
              <w:t>5.2</w:t>
            </w:r>
          </w:p>
        </w:tc>
        <w:tc>
          <w:tcPr>
            <w:tcW w:w="1985" w:type="dxa"/>
            <w:vAlign w:val="center"/>
          </w:tcPr>
          <w:p>
            <w:pPr>
              <w:jc w:val="center"/>
              <w:rPr>
                <w:rFonts w:ascii="Times New Roman" w:hAnsi="Times New Roman"/>
                <w:color w:val="000000"/>
              </w:rPr>
            </w:pPr>
            <w:r>
              <w:rPr>
                <w:rFonts w:ascii="Times New Roman" w:hAnsi="Times New Roman"/>
                <w:color w:val="000000"/>
              </w:rPr>
              <w:t>6.5</w:t>
            </w:r>
          </w:p>
        </w:tc>
        <w:tc>
          <w:tcPr>
            <w:tcW w:w="1843" w:type="dxa"/>
            <w:vAlign w:val="center"/>
          </w:tcPr>
          <w:p>
            <w:pPr>
              <w:jc w:val="center"/>
              <w:rPr>
                <w:rFonts w:ascii="宋体" w:hAnsi="宋体"/>
                <w:color w:val="000000"/>
                <w:sz w:val="18"/>
                <w:szCs w:val="18"/>
              </w:rPr>
            </w:pPr>
            <w:r>
              <w:rPr>
                <w:rFonts w:hint="eastAsia" w:ascii="宋体" w:cs="宋体"/>
                <w:kern w:val="0"/>
                <w:sz w:val="18"/>
                <w:szCs w:val="18"/>
              </w:rPr>
              <w:t>√</w:t>
            </w:r>
          </w:p>
        </w:tc>
        <w:tc>
          <w:tcPr>
            <w:tcW w:w="1662" w:type="dxa"/>
            <w:vAlign w:val="center"/>
          </w:tcPr>
          <w:p>
            <w:pPr>
              <w:jc w:val="center"/>
              <w:rPr>
                <w:rFonts w:ascii="宋体" w:hAnsi="宋体"/>
                <w:color w:val="000000"/>
                <w:sz w:val="18"/>
                <w:szCs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3006"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rPr>
              <w:t>pH值</w:t>
            </w:r>
          </w:p>
        </w:tc>
        <w:tc>
          <w:tcPr>
            <w:tcW w:w="850" w:type="dxa"/>
            <w:vMerge w:val="continue"/>
            <w:vAlign w:val="center"/>
          </w:tcPr>
          <w:p>
            <w:pPr>
              <w:jc w:val="center"/>
              <w:rPr>
                <w:rFonts w:ascii="Times New Roman" w:hAnsi="Times New Roman"/>
                <w:color w:val="000000"/>
              </w:rPr>
            </w:pPr>
          </w:p>
        </w:tc>
        <w:tc>
          <w:tcPr>
            <w:tcW w:w="1985" w:type="dxa"/>
            <w:vAlign w:val="center"/>
          </w:tcPr>
          <w:p>
            <w:pPr>
              <w:jc w:val="center"/>
              <w:rPr>
                <w:rFonts w:ascii="Times New Roman" w:hAnsi="Times New Roman"/>
                <w:color w:val="000000"/>
              </w:rPr>
            </w:pPr>
            <w:r>
              <w:rPr>
                <w:rFonts w:ascii="Times New Roman" w:hAnsi="Times New Roman"/>
                <w:color w:val="000000"/>
              </w:rPr>
              <w:t>6.6</w:t>
            </w:r>
          </w:p>
        </w:tc>
        <w:tc>
          <w:tcPr>
            <w:tcW w:w="1843" w:type="dxa"/>
            <w:vAlign w:val="center"/>
          </w:tcPr>
          <w:p>
            <w:pPr>
              <w:jc w:val="center"/>
              <w:rPr>
                <w:rFonts w:ascii="宋体" w:hAnsi="宋体"/>
                <w:color w:val="000000"/>
                <w:sz w:val="18"/>
                <w:szCs w:val="18"/>
              </w:rPr>
            </w:pPr>
            <w:r>
              <w:rPr>
                <w:rFonts w:hint="eastAsia" w:ascii="宋体" w:cs="宋体"/>
                <w:kern w:val="0"/>
                <w:sz w:val="18"/>
                <w:szCs w:val="18"/>
              </w:rPr>
              <w:t>√</w:t>
            </w:r>
          </w:p>
        </w:tc>
        <w:tc>
          <w:tcPr>
            <w:tcW w:w="1662" w:type="dxa"/>
            <w:vAlign w:val="center"/>
          </w:tcPr>
          <w:p>
            <w:pPr>
              <w:jc w:val="center"/>
              <w:rPr>
                <w:rFonts w:ascii="宋体" w:hAnsi="宋体"/>
                <w:color w:val="000000"/>
                <w:sz w:val="18"/>
                <w:szCs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3006"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rPr>
              <w:t>湿筛试验（通过75μm试验筛）/%</w:t>
            </w:r>
          </w:p>
        </w:tc>
        <w:tc>
          <w:tcPr>
            <w:tcW w:w="850" w:type="dxa"/>
            <w:vMerge w:val="continue"/>
            <w:vAlign w:val="center"/>
          </w:tcPr>
          <w:p>
            <w:pPr>
              <w:jc w:val="center"/>
              <w:rPr>
                <w:rFonts w:ascii="Times New Roman" w:hAnsi="Times New Roman"/>
                <w:color w:val="000000"/>
              </w:rPr>
            </w:pPr>
          </w:p>
        </w:tc>
        <w:tc>
          <w:tcPr>
            <w:tcW w:w="1985" w:type="dxa"/>
            <w:vAlign w:val="center"/>
          </w:tcPr>
          <w:p>
            <w:pPr>
              <w:jc w:val="center"/>
              <w:rPr>
                <w:rFonts w:ascii="Times New Roman" w:hAnsi="Times New Roman"/>
                <w:color w:val="000000"/>
              </w:rPr>
            </w:pPr>
            <w:r>
              <w:rPr>
                <w:rFonts w:ascii="Times New Roman" w:hAnsi="Times New Roman"/>
                <w:color w:val="000000"/>
              </w:rPr>
              <w:t>6.7</w:t>
            </w:r>
          </w:p>
        </w:tc>
        <w:tc>
          <w:tcPr>
            <w:tcW w:w="1843" w:type="dxa"/>
            <w:vAlign w:val="center"/>
          </w:tcPr>
          <w:p>
            <w:pPr>
              <w:jc w:val="center"/>
              <w:rPr>
                <w:rFonts w:ascii="宋体" w:hAnsi="宋体"/>
                <w:color w:val="000000"/>
                <w:sz w:val="18"/>
                <w:szCs w:val="18"/>
              </w:rPr>
            </w:pPr>
            <w:r>
              <w:rPr>
                <w:rFonts w:hint="eastAsia" w:ascii="宋体" w:cs="宋体"/>
                <w:kern w:val="0"/>
                <w:sz w:val="18"/>
                <w:szCs w:val="18"/>
              </w:rPr>
              <w:t>√</w:t>
            </w:r>
          </w:p>
        </w:tc>
        <w:tc>
          <w:tcPr>
            <w:tcW w:w="1662" w:type="dxa"/>
            <w:vAlign w:val="center"/>
          </w:tcPr>
          <w:p>
            <w:pPr>
              <w:jc w:val="center"/>
              <w:rPr>
                <w:rFonts w:ascii="宋体" w:hAnsi="宋体"/>
                <w:color w:val="000000"/>
                <w:sz w:val="18"/>
                <w:szCs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3006"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szCs w:val="18"/>
              </w:rPr>
              <w:t>悬浮率</w:t>
            </w:r>
            <w:r>
              <w:rPr>
                <w:rFonts w:hint="eastAsia" w:ascii="Times New Roman" w:hAnsi="Times New Roman"/>
                <w:color w:val="000000"/>
                <w:sz w:val="18"/>
                <w:szCs w:val="18"/>
              </w:rPr>
              <w:t>/%</w:t>
            </w:r>
          </w:p>
        </w:tc>
        <w:tc>
          <w:tcPr>
            <w:tcW w:w="850" w:type="dxa"/>
            <w:vMerge w:val="continue"/>
            <w:vAlign w:val="center"/>
          </w:tcPr>
          <w:p>
            <w:pPr>
              <w:jc w:val="center"/>
              <w:rPr>
                <w:rFonts w:ascii="Times New Roman" w:hAnsi="Times New Roman"/>
                <w:color w:val="000000"/>
              </w:rPr>
            </w:pPr>
          </w:p>
        </w:tc>
        <w:tc>
          <w:tcPr>
            <w:tcW w:w="1985" w:type="dxa"/>
            <w:vAlign w:val="center"/>
          </w:tcPr>
          <w:p>
            <w:pPr>
              <w:jc w:val="center"/>
              <w:rPr>
                <w:rFonts w:ascii="Times New Roman" w:hAnsi="Times New Roman"/>
                <w:color w:val="000000"/>
              </w:rPr>
            </w:pPr>
            <w:r>
              <w:rPr>
                <w:rFonts w:ascii="Times New Roman" w:hAnsi="Times New Roman"/>
                <w:color w:val="000000"/>
              </w:rPr>
              <w:t>6.8</w:t>
            </w:r>
          </w:p>
        </w:tc>
        <w:tc>
          <w:tcPr>
            <w:tcW w:w="1843" w:type="dxa"/>
            <w:vAlign w:val="center"/>
          </w:tcPr>
          <w:p>
            <w:pPr>
              <w:jc w:val="center"/>
              <w:rPr>
                <w:rFonts w:ascii="宋体" w:hAnsi="宋体"/>
                <w:color w:val="000000"/>
                <w:sz w:val="18"/>
                <w:szCs w:val="18"/>
              </w:rPr>
            </w:pPr>
            <w:r>
              <w:rPr>
                <w:rFonts w:hint="eastAsia" w:ascii="宋体" w:cs="宋体"/>
                <w:kern w:val="0"/>
                <w:sz w:val="18"/>
                <w:szCs w:val="18"/>
              </w:rPr>
              <w:t>√</w:t>
            </w:r>
          </w:p>
        </w:tc>
        <w:tc>
          <w:tcPr>
            <w:tcW w:w="1662" w:type="dxa"/>
            <w:vAlign w:val="center"/>
          </w:tcPr>
          <w:p>
            <w:pPr>
              <w:jc w:val="center"/>
              <w:rPr>
                <w:rFonts w:ascii="宋体" w:hAnsi="宋体"/>
                <w:color w:val="000000"/>
                <w:sz w:val="18"/>
                <w:szCs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021" w:type="dxa"/>
            <w:vMerge w:val="restart"/>
            <w:vAlign w:val="center"/>
          </w:tcPr>
          <w:p>
            <w:pPr>
              <w:pStyle w:val="19"/>
              <w:tabs>
                <w:tab w:val="left" w:pos="3618"/>
              </w:tabs>
              <w:snapToGrid/>
              <w:jc w:val="both"/>
              <w:rPr>
                <w:rFonts w:ascii="Times New Roman" w:hAnsi="Times New Roman"/>
                <w:color w:val="000000"/>
                <w:szCs w:val="24"/>
              </w:rPr>
            </w:pPr>
            <w:r>
              <w:rPr>
                <w:rFonts w:ascii="Times New Roman" w:hAnsi="Times New Roman"/>
                <w:color w:val="000000"/>
                <w:szCs w:val="24"/>
              </w:rPr>
              <w:t>倾倒性</w:t>
            </w:r>
          </w:p>
        </w:tc>
        <w:tc>
          <w:tcPr>
            <w:tcW w:w="1985" w:type="dxa"/>
            <w:vAlign w:val="center"/>
          </w:tcPr>
          <w:p>
            <w:pPr>
              <w:tabs>
                <w:tab w:val="left" w:pos="3618"/>
              </w:tabs>
              <w:rPr>
                <w:rFonts w:ascii="Times New Roman" w:hAnsi="Times New Roman"/>
                <w:color w:val="000000"/>
                <w:sz w:val="18"/>
              </w:rPr>
            </w:pPr>
            <w:r>
              <w:rPr>
                <w:rFonts w:ascii="Times New Roman" w:hAnsi="Times New Roman"/>
                <w:color w:val="000000"/>
                <w:sz w:val="18"/>
              </w:rPr>
              <w:t>倾倒后残余物/%</w:t>
            </w:r>
          </w:p>
        </w:tc>
        <w:tc>
          <w:tcPr>
            <w:tcW w:w="850" w:type="dxa"/>
            <w:vMerge w:val="continue"/>
            <w:vAlign w:val="center"/>
          </w:tcPr>
          <w:p>
            <w:pPr>
              <w:jc w:val="center"/>
              <w:rPr>
                <w:rFonts w:ascii="Times New Roman" w:hAnsi="Times New Roman"/>
                <w:color w:val="000000"/>
              </w:rPr>
            </w:pPr>
          </w:p>
        </w:tc>
        <w:tc>
          <w:tcPr>
            <w:tcW w:w="1985" w:type="dxa"/>
            <w:vMerge w:val="restart"/>
            <w:vAlign w:val="center"/>
          </w:tcPr>
          <w:p>
            <w:pPr>
              <w:jc w:val="center"/>
              <w:rPr>
                <w:rFonts w:ascii="Times New Roman" w:hAnsi="Times New Roman"/>
                <w:color w:val="000000"/>
              </w:rPr>
            </w:pPr>
            <w:r>
              <w:rPr>
                <w:rFonts w:ascii="Times New Roman" w:hAnsi="Times New Roman"/>
                <w:color w:val="000000"/>
              </w:rPr>
              <w:t>6.9</w:t>
            </w:r>
          </w:p>
        </w:tc>
        <w:tc>
          <w:tcPr>
            <w:tcW w:w="1843" w:type="dxa"/>
            <w:vAlign w:val="center"/>
          </w:tcPr>
          <w:p>
            <w:pPr>
              <w:jc w:val="center"/>
              <w:rPr>
                <w:rFonts w:ascii="宋体" w:hAnsi="宋体"/>
                <w:color w:val="000000"/>
                <w:sz w:val="18"/>
              </w:rPr>
            </w:pPr>
            <w:r>
              <w:rPr>
                <w:rFonts w:hint="eastAsia" w:ascii="宋体" w:cs="宋体"/>
                <w:kern w:val="0"/>
                <w:sz w:val="18"/>
                <w:szCs w:val="18"/>
              </w:rPr>
              <w:t>√</w:t>
            </w:r>
          </w:p>
        </w:tc>
        <w:tc>
          <w:tcPr>
            <w:tcW w:w="1662" w:type="dxa"/>
            <w:vAlign w:val="center"/>
          </w:tcPr>
          <w:p>
            <w:pPr>
              <w:jc w:val="center"/>
              <w:rPr>
                <w:rFonts w:ascii="宋体" w:hAnsi="宋体"/>
                <w:color w:val="000000"/>
                <w:sz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1021" w:type="dxa"/>
            <w:vMerge w:val="continue"/>
            <w:vAlign w:val="center"/>
          </w:tcPr>
          <w:p>
            <w:pPr>
              <w:tabs>
                <w:tab w:val="left" w:pos="3618"/>
              </w:tabs>
              <w:rPr>
                <w:rFonts w:ascii="Times New Roman" w:hAnsi="Times New Roman"/>
                <w:color w:val="000000"/>
                <w:sz w:val="18"/>
              </w:rPr>
            </w:pPr>
          </w:p>
        </w:tc>
        <w:tc>
          <w:tcPr>
            <w:tcW w:w="1985" w:type="dxa"/>
            <w:vAlign w:val="center"/>
          </w:tcPr>
          <w:p>
            <w:pPr>
              <w:tabs>
                <w:tab w:val="left" w:pos="3618"/>
              </w:tabs>
              <w:rPr>
                <w:rFonts w:ascii="Times New Roman" w:hAnsi="Times New Roman"/>
                <w:color w:val="000000"/>
                <w:sz w:val="18"/>
              </w:rPr>
            </w:pPr>
            <w:r>
              <w:rPr>
                <w:rFonts w:ascii="Times New Roman" w:hAnsi="Times New Roman"/>
                <w:color w:val="000000"/>
                <w:sz w:val="18"/>
              </w:rPr>
              <w:t>洗涤后残余物/%</w:t>
            </w:r>
          </w:p>
        </w:tc>
        <w:tc>
          <w:tcPr>
            <w:tcW w:w="850" w:type="dxa"/>
            <w:vMerge w:val="continue"/>
            <w:vAlign w:val="center"/>
          </w:tcPr>
          <w:p>
            <w:pPr>
              <w:jc w:val="center"/>
              <w:rPr>
                <w:rFonts w:ascii="Times New Roman" w:hAnsi="Times New Roman"/>
                <w:color w:val="000000"/>
              </w:rPr>
            </w:pPr>
          </w:p>
        </w:tc>
        <w:tc>
          <w:tcPr>
            <w:tcW w:w="1985" w:type="dxa"/>
            <w:vMerge w:val="continue"/>
            <w:vAlign w:val="center"/>
          </w:tcPr>
          <w:p>
            <w:pPr>
              <w:jc w:val="center"/>
              <w:rPr>
                <w:rFonts w:ascii="Times New Roman" w:hAnsi="Times New Roman"/>
                <w:color w:val="000000"/>
              </w:rPr>
            </w:pPr>
          </w:p>
        </w:tc>
        <w:tc>
          <w:tcPr>
            <w:tcW w:w="1843" w:type="dxa"/>
            <w:vAlign w:val="center"/>
          </w:tcPr>
          <w:p>
            <w:pPr>
              <w:jc w:val="center"/>
              <w:rPr>
                <w:rFonts w:ascii="宋体" w:hAnsi="宋体"/>
                <w:color w:val="000000"/>
                <w:sz w:val="18"/>
              </w:rPr>
            </w:pPr>
            <w:r>
              <w:rPr>
                <w:rFonts w:hint="eastAsia" w:ascii="宋体" w:cs="宋体"/>
                <w:kern w:val="0"/>
                <w:sz w:val="18"/>
                <w:szCs w:val="18"/>
              </w:rPr>
              <w:t>√</w:t>
            </w:r>
          </w:p>
        </w:tc>
        <w:tc>
          <w:tcPr>
            <w:tcW w:w="1662" w:type="dxa"/>
            <w:vAlign w:val="center"/>
          </w:tcPr>
          <w:p>
            <w:pPr>
              <w:jc w:val="center"/>
              <w:rPr>
                <w:rFonts w:ascii="宋体" w:hAnsi="宋体"/>
                <w:color w:val="000000"/>
                <w:sz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3006" w:type="dxa"/>
            <w:gridSpan w:val="2"/>
            <w:vAlign w:val="center"/>
          </w:tcPr>
          <w:p>
            <w:pPr>
              <w:tabs>
                <w:tab w:val="left" w:pos="3618"/>
              </w:tabs>
              <w:rPr>
                <w:rFonts w:ascii="Times New Roman" w:hAnsi="Times New Roman"/>
                <w:color w:val="000000"/>
                <w:sz w:val="18"/>
              </w:rPr>
            </w:pPr>
            <w:r>
              <w:rPr>
                <w:rFonts w:ascii="Times New Roman" w:hAnsi="Times New Roman"/>
                <w:color w:val="000000"/>
                <w:sz w:val="18"/>
              </w:rPr>
              <w:t>持久起泡性（1min后泡沫量）/mL</w:t>
            </w:r>
          </w:p>
        </w:tc>
        <w:tc>
          <w:tcPr>
            <w:tcW w:w="850" w:type="dxa"/>
            <w:vMerge w:val="continue"/>
            <w:vAlign w:val="center"/>
          </w:tcPr>
          <w:p>
            <w:pPr>
              <w:jc w:val="center"/>
              <w:rPr>
                <w:rFonts w:ascii="Times New Roman" w:hAnsi="Times New Roman"/>
                <w:color w:val="000000"/>
              </w:rPr>
            </w:pPr>
          </w:p>
        </w:tc>
        <w:tc>
          <w:tcPr>
            <w:tcW w:w="1985" w:type="dxa"/>
            <w:vAlign w:val="center"/>
          </w:tcPr>
          <w:p>
            <w:pPr>
              <w:jc w:val="center"/>
              <w:rPr>
                <w:rFonts w:ascii="Times New Roman" w:hAnsi="Times New Roman"/>
                <w:color w:val="000000"/>
              </w:rPr>
            </w:pPr>
            <w:r>
              <w:rPr>
                <w:rFonts w:ascii="Times New Roman" w:hAnsi="Times New Roman"/>
                <w:color w:val="000000"/>
              </w:rPr>
              <w:t>6.10</w:t>
            </w:r>
          </w:p>
        </w:tc>
        <w:tc>
          <w:tcPr>
            <w:tcW w:w="1843" w:type="dxa"/>
            <w:vAlign w:val="center"/>
          </w:tcPr>
          <w:p>
            <w:pPr>
              <w:jc w:val="center"/>
              <w:rPr>
                <w:rFonts w:ascii="宋体" w:hAnsi="宋体"/>
                <w:color w:val="000000"/>
                <w:sz w:val="18"/>
              </w:rPr>
            </w:pPr>
            <w:r>
              <w:rPr>
                <w:rFonts w:hint="eastAsia" w:ascii="宋体" w:cs="宋体"/>
                <w:kern w:val="0"/>
                <w:sz w:val="18"/>
                <w:szCs w:val="18"/>
              </w:rPr>
              <w:t>√</w:t>
            </w:r>
          </w:p>
        </w:tc>
        <w:tc>
          <w:tcPr>
            <w:tcW w:w="1662" w:type="dxa"/>
            <w:vAlign w:val="center"/>
          </w:tcPr>
          <w:p>
            <w:pPr>
              <w:jc w:val="center"/>
              <w:rPr>
                <w:rFonts w:ascii="宋体" w:hAnsi="宋体"/>
                <w:color w:val="000000"/>
                <w:sz w:val="18"/>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exact"/>
        </w:trPr>
        <w:tc>
          <w:tcPr>
            <w:tcW w:w="3006" w:type="dxa"/>
            <w:gridSpan w:val="2"/>
            <w:vAlign w:val="center"/>
          </w:tcPr>
          <w:p>
            <w:pPr>
              <w:rPr>
                <w:rFonts w:ascii="Times New Roman" w:hAnsi="Times New Roman"/>
                <w:color w:val="000000"/>
                <w:sz w:val="18"/>
              </w:rPr>
            </w:pPr>
            <w:r>
              <w:rPr>
                <w:rFonts w:ascii="Times New Roman" w:hAnsi="Times New Roman"/>
                <w:color w:val="000000"/>
                <w:sz w:val="18"/>
              </w:rPr>
              <w:t>低温稳定性</w:t>
            </w:r>
          </w:p>
        </w:tc>
        <w:tc>
          <w:tcPr>
            <w:tcW w:w="850" w:type="dxa"/>
            <w:vMerge w:val="continue"/>
            <w:vAlign w:val="center"/>
          </w:tcPr>
          <w:p>
            <w:pPr>
              <w:jc w:val="left"/>
              <w:rPr>
                <w:rFonts w:ascii="Times New Roman" w:hAnsi="Times New Roman"/>
                <w:color w:val="000000"/>
              </w:rPr>
            </w:pPr>
          </w:p>
        </w:tc>
        <w:tc>
          <w:tcPr>
            <w:tcW w:w="1985" w:type="dxa"/>
            <w:vAlign w:val="center"/>
          </w:tcPr>
          <w:p>
            <w:pPr>
              <w:jc w:val="center"/>
              <w:rPr>
                <w:rFonts w:ascii="Times New Roman" w:hAnsi="Times New Roman"/>
                <w:color w:val="000000"/>
              </w:rPr>
            </w:pPr>
            <w:r>
              <w:rPr>
                <w:rFonts w:ascii="Times New Roman" w:hAnsi="Times New Roman"/>
                <w:color w:val="000000"/>
              </w:rPr>
              <w:t>6.11</w:t>
            </w:r>
          </w:p>
        </w:tc>
        <w:tc>
          <w:tcPr>
            <w:tcW w:w="1843" w:type="dxa"/>
            <w:vAlign w:val="center"/>
          </w:tcPr>
          <w:p>
            <w:pPr>
              <w:jc w:val="center"/>
              <w:rPr>
                <w:rFonts w:ascii="Times New Roman" w:hAnsi="Times New Roman"/>
                <w:color w:val="000000"/>
              </w:rPr>
            </w:pPr>
            <w:r>
              <w:rPr>
                <w:rFonts w:hint="eastAsia" w:ascii="Times New Roman" w:hAnsi="Times New Roman"/>
                <w:color w:val="000000"/>
              </w:rPr>
              <w:t>—</w:t>
            </w:r>
          </w:p>
        </w:tc>
        <w:tc>
          <w:tcPr>
            <w:tcW w:w="1662" w:type="dxa"/>
            <w:vAlign w:val="center"/>
          </w:tcPr>
          <w:p>
            <w:pPr>
              <w:jc w:val="center"/>
              <w:rPr>
                <w:rFonts w:ascii="Times New Roman" w:hAnsi="Times New Roman"/>
                <w:color w:val="000000"/>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3006" w:type="dxa"/>
            <w:gridSpan w:val="2"/>
            <w:vAlign w:val="center"/>
          </w:tcPr>
          <w:p>
            <w:pPr>
              <w:rPr>
                <w:rFonts w:ascii="Times New Roman" w:hAnsi="Times New Roman"/>
                <w:color w:val="000000"/>
                <w:sz w:val="18"/>
              </w:rPr>
            </w:pPr>
            <w:r>
              <w:rPr>
                <w:rFonts w:ascii="Times New Roman" w:hAnsi="Times New Roman"/>
                <w:color w:val="000000"/>
                <w:sz w:val="18"/>
              </w:rPr>
              <w:t>热</w:t>
            </w:r>
            <w:r>
              <w:rPr>
                <w:rFonts w:hint="eastAsia" w:ascii="Times New Roman" w:hAnsi="Times New Roman"/>
                <w:color w:val="000000"/>
                <w:sz w:val="18"/>
                <w:lang w:val="en-US" w:eastAsia="zh-CN"/>
              </w:rPr>
              <w:t>贮</w:t>
            </w:r>
            <w:r>
              <w:rPr>
                <w:rFonts w:ascii="Times New Roman" w:hAnsi="Times New Roman"/>
                <w:color w:val="000000"/>
                <w:sz w:val="18"/>
              </w:rPr>
              <w:t>稳定性</w:t>
            </w:r>
          </w:p>
        </w:tc>
        <w:tc>
          <w:tcPr>
            <w:tcW w:w="850" w:type="dxa"/>
            <w:vMerge w:val="continue"/>
            <w:vAlign w:val="center"/>
          </w:tcPr>
          <w:p>
            <w:pPr>
              <w:jc w:val="left"/>
              <w:rPr>
                <w:rFonts w:ascii="Times New Roman" w:hAnsi="Times New Roman"/>
                <w:color w:val="000000"/>
              </w:rPr>
            </w:pPr>
          </w:p>
        </w:tc>
        <w:tc>
          <w:tcPr>
            <w:tcW w:w="1985" w:type="dxa"/>
            <w:vAlign w:val="center"/>
          </w:tcPr>
          <w:p>
            <w:pPr>
              <w:jc w:val="center"/>
              <w:rPr>
                <w:rFonts w:ascii="Times New Roman" w:hAnsi="Times New Roman"/>
                <w:color w:val="000000"/>
              </w:rPr>
            </w:pPr>
            <w:r>
              <w:rPr>
                <w:rFonts w:ascii="Times New Roman" w:hAnsi="Times New Roman"/>
                <w:color w:val="000000"/>
              </w:rPr>
              <w:t>6.12</w:t>
            </w:r>
          </w:p>
        </w:tc>
        <w:tc>
          <w:tcPr>
            <w:tcW w:w="1843" w:type="dxa"/>
            <w:vAlign w:val="center"/>
          </w:tcPr>
          <w:p>
            <w:pPr>
              <w:jc w:val="center"/>
              <w:rPr>
                <w:rFonts w:ascii="Times New Roman" w:hAnsi="Times New Roman"/>
                <w:color w:val="000000"/>
              </w:rPr>
            </w:pPr>
            <w:r>
              <w:rPr>
                <w:rFonts w:hint="eastAsia" w:ascii="Times New Roman" w:hAnsi="Times New Roman"/>
                <w:color w:val="000000"/>
              </w:rPr>
              <w:t>—</w:t>
            </w:r>
          </w:p>
        </w:tc>
        <w:tc>
          <w:tcPr>
            <w:tcW w:w="1662" w:type="dxa"/>
            <w:vAlign w:val="center"/>
          </w:tcPr>
          <w:p>
            <w:pPr>
              <w:jc w:val="center"/>
              <w:rPr>
                <w:rFonts w:ascii="Times New Roman" w:hAnsi="Times New Roman"/>
                <w:color w:val="000000"/>
              </w:rPr>
            </w:pPr>
            <w:r>
              <w:rPr>
                <w:rFonts w:hint="eastAsia" w:ascii="宋体" w:cs="宋体"/>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9346" w:type="dxa"/>
            <w:gridSpan w:val="6"/>
            <w:vAlign w:val="center"/>
          </w:tcPr>
          <w:p>
            <w:pPr>
              <w:jc w:val="left"/>
              <w:rPr>
                <w:rFonts w:ascii="Times New Roman" w:hAnsi="Times New Roman"/>
                <w:kern w:val="0"/>
              </w:rPr>
            </w:pPr>
            <w:r>
              <w:rPr>
                <w:rFonts w:ascii="Times New Roman" w:hAnsi="Times New Roman"/>
                <w:kern w:val="0"/>
              </w:rPr>
              <w:t>注：“√”表示进行该项检查，“—”表示不进行该项检查。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rPr>
        <w:tc>
          <w:tcPr>
            <w:tcW w:w="9346" w:type="dxa"/>
            <w:gridSpan w:val="6"/>
            <w:vAlign w:val="center"/>
          </w:tcPr>
          <w:p>
            <w:pPr>
              <w:jc w:val="left"/>
              <w:rPr>
                <w:rFonts w:ascii="宋体" w:cs="宋体"/>
                <w:kern w:val="0"/>
                <w:sz w:val="18"/>
                <w:szCs w:val="18"/>
              </w:rPr>
            </w:pPr>
            <w:r>
              <w:rPr>
                <w:rFonts w:ascii="Times New Roman" w:hAnsi="Times New Roman"/>
                <w:color w:val="000000"/>
                <w:sz w:val="18"/>
              </w:rPr>
              <w:t>注：正常生产时</w:t>
            </w:r>
            <w:r>
              <w:rPr>
                <w:rFonts w:hint="eastAsia" w:ascii="Times New Roman" w:hAnsi="Times New Roman"/>
                <w:color w:val="000000"/>
                <w:sz w:val="18"/>
              </w:rPr>
              <w:t>，</w:t>
            </w:r>
            <w:r>
              <w:rPr>
                <w:rFonts w:ascii="Times New Roman" w:hAnsi="Times New Roman"/>
                <w:color w:val="000000"/>
                <w:sz w:val="18"/>
              </w:rPr>
              <w:t>低温稳定性和热</w:t>
            </w:r>
            <w:r>
              <w:rPr>
                <w:rFonts w:hint="eastAsia" w:ascii="Times New Roman" w:hAnsi="Times New Roman"/>
                <w:color w:val="000000"/>
                <w:sz w:val="18"/>
                <w:lang w:val="en-US" w:eastAsia="zh-CN"/>
              </w:rPr>
              <w:t>贮</w:t>
            </w:r>
            <w:r>
              <w:rPr>
                <w:rFonts w:ascii="Times New Roman" w:hAnsi="Times New Roman"/>
                <w:color w:val="000000"/>
                <w:sz w:val="18"/>
              </w:rPr>
              <w:t>稳定性试验，每3个月至少进行1次。</w:t>
            </w:r>
          </w:p>
        </w:tc>
      </w:tr>
    </w:tbl>
    <w:p>
      <w:pPr>
        <w:pStyle w:val="106"/>
        <w:spacing w:before="120" w:after="120"/>
        <w:rPr>
          <w:rFonts w:cs="黑体"/>
        </w:rPr>
      </w:pPr>
      <w:r>
        <w:rPr>
          <w:rFonts w:hint="eastAsia" w:cs="黑体"/>
        </w:rPr>
        <w:t>判定规则</w:t>
      </w:r>
    </w:p>
    <w:p>
      <w:pPr>
        <w:pStyle w:val="57"/>
        <w:ind w:firstLine="420"/>
        <w:rPr>
          <w:rFonts w:hint="eastAsia" w:cs="宋体"/>
        </w:rPr>
      </w:pPr>
      <w:r>
        <w:rPr>
          <w:rFonts w:hint="eastAsia" w:cs="宋体"/>
        </w:rPr>
        <w:t>技术指标检验结果的判定按GB/T 8170—2008进行修约，如有一项指标不符合本标准要求时，应重新加倍采样，对不合格项进行复检，如仍不合格，则判该批产品不合格。</w:t>
      </w:r>
    </w:p>
    <w:p>
      <w:pPr>
        <w:pStyle w:val="105"/>
        <w:spacing w:before="240" w:after="240"/>
      </w:pPr>
      <w:bookmarkStart w:id="101" w:name="_Toc80801163"/>
      <w:bookmarkStart w:id="102" w:name="_Toc56456273"/>
      <w:bookmarkStart w:id="103" w:name="_Toc55826611"/>
      <w:bookmarkStart w:id="104" w:name="_Toc50550153"/>
      <w:bookmarkStart w:id="105" w:name="_Toc79398769"/>
      <w:bookmarkStart w:id="106" w:name="_Toc56421307"/>
      <w:bookmarkStart w:id="107" w:name="_Toc56420229"/>
      <w:bookmarkStart w:id="108" w:name="_Toc50558683"/>
      <w:bookmarkStart w:id="109" w:name="_Toc55823820"/>
      <w:bookmarkStart w:id="110" w:name="_Toc43816172"/>
      <w:bookmarkStart w:id="111" w:name="_Toc81040479"/>
      <w:bookmarkStart w:id="112" w:name="_Toc50559085"/>
      <w:bookmarkStart w:id="113" w:name="_Toc50550613"/>
      <w:bookmarkStart w:id="114" w:name="_Toc50550126"/>
      <w:bookmarkStart w:id="115" w:name="_Toc75767637"/>
      <w:bookmarkStart w:id="116" w:name="_Toc81316129"/>
      <w:bookmarkStart w:id="117" w:name="_Toc81310508"/>
      <w:bookmarkStart w:id="118" w:name="_Hlk75617541"/>
      <w:r>
        <w:rPr>
          <w:rFonts w:hint="eastAsia"/>
        </w:rPr>
        <w:t>标志、包装、运输与贮存</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pPr>
        <w:pStyle w:val="57"/>
        <w:ind w:firstLine="420"/>
        <w:rPr>
          <w:rFonts w:hint="eastAsia" w:cs="宋体"/>
        </w:rPr>
      </w:pPr>
      <w:r>
        <w:rPr>
          <w:rFonts w:hint="eastAsia" w:cs="宋体"/>
        </w:rPr>
        <w:t>标志、标签、包装，应符合GB 3796 的规定。采用铝箔封口的复合瓶包装，每瓶净含量为100g,200g,500g，紧密排列于纸箱中，每箱不多于20瓶。也可根据用户要求或订货协议，可以采用其他形式的包装，但要符合GB 3796 的规定。</w:t>
      </w:r>
    </w:p>
    <w:p>
      <w:pPr>
        <w:pStyle w:val="106"/>
        <w:spacing w:before="120" w:after="120"/>
        <w:rPr>
          <w:rFonts w:ascii="宋体" w:hAnsi="宋体" w:eastAsia="宋体" w:cs="黑体"/>
        </w:rPr>
      </w:pPr>
      <w:r>
        <w:rPr>
          <w:rFonts w:hint="eastAsia" w:ascii="宋体" w:hAnsi="宋体" w:eastAsia="宋体" w:cs="黑体"/>
        </w:rPr>
        <w:t>包装件应贮存在通风、干燥的库房中。</w:t>
      </w:r>
    </w:p>
    <w:p>
      <w:pPr>
        <w:pStyle w:val="106"/>
        <w:spacing w:before="120" w:after="120"/>
        <w:rPr>
          <w:rFonts w:ascii="宋体" w:hAnsi="宋体" w:eastAsia="宋体" w:cs="黑体"/>
        </w:rPr>
      </w:pPr>
      <w:r>
        <w:rPr>
          <w:rFonts w:hint="eastAsia" w:ascii="宋体" w:hAnsi="宋体" w:eastAsia="宋体" w:cs="黑体"/>
        </w:rPr>
        <w:t>贮运时，严防潮湿和日晒，不得与食物、种子、饲料混放，避免与皮肤、眼睛接触，防止由口鼻吸入。</w:t>
      </w:r>
    </w:p>
    <w:p>
      <w:pPr>
        <w:pStyle w:val="106"/>
        <w:spacing w:before="120" w:after="120"/>
        <w:rPr>
          <w:rFonts w:ascii="宋体" w:hAnsi="宋体" w:eastAsia="宋体" w:cs="黑体"/>
        </w:rPr>
      </w:pPr>
      <w:r>
        <w:rPr>
          <w:rFonts w:hint="eastAsia" w:ascii="宋体" w:hAnsi="宋体" w:eastAsia="宋体" w:cs="黑体"/>
        </w:rPr>
        <w:t>吡唑醚菌酯</w:t>
      </w:r>
      <w:r>
        <w:rPr>
          <w:rFonts w:hint="eastAsia" w:ascii="宋体" w:hAnsi="宋体" w:eastAsia="宋体" w:cs="黑体"/>
          <w:lang w:val="en-US" w:eastAsia="zh-CN"/>
        </w:rPr>
        <w:t>悬浮剂</w:t>
      </w:r>
      <w:r>
        <w:rPr>
          <w:rFonts w:hint="eastAsia" w:ascii="宋体" w:hAnsi="宋体" w:eastAsia="宋体" w:cs="黑体"/>
        </w:rPr>
        <w:t>为低毒杀菌剂。使用本品应注意个人防护，穿戴好防护用具，施药后用肥皂和水洗干净裸露的皮肤，如有中毒现象，应及时送医院对症治疗。</w:t>
      </w:r>
    </w:p>
    <w:bookmarkEnd w:id="118"/>
    <w:p>
      <w:pPr>
        <w:pStyle w:val="105"/>
        <w:spacing w:before="240" w:after="240"/>
      </w:pPr>
      <w:bookmarkStart w:id="119" w:name="_Toc55826612"/>
      <w:bookmarkStart w:id="120" w:name="_Toc79398770"/>
      <w:bookmarkStart w:id="121" w:name="_Toc81310509"/>
      <w:bookmarkStart w:id="122" w:name="_Toc43816173"/>
      <w:bookmarkStart w:id="123" w:name="_Toc50559086"/>
      <w:bookmarkStart w:id="124" w:name="_Toc50558684"/>
      <w:bookmarkStart w:id="125" w:name="_Toc75767638"/>
      <w:bookmarkStart w:id="126" w:name="_Toc55823821"/>
      <w:bookmarkStart w:id="127" w:name="_Toc81316130"/>
      <w:bookmarkStart w:id="128" w:name="_Toc50550614"/>
      <w:bookmarkStart w:id="129" w:name="_Toc81040480"/>
      <w:bookmarkStart w:id="130" w:name="_Toc56421308"/>
      <w:bookmarkStart w:id="131" w:name="_Toc50550154"/>
      <w:bookmarkStart w:id="132" w:name="_Toc56456274"/>
      <w:bookmarkStart w:id="133" w:name="_Toc50550127"/>
      <w:bookmarkStart w:id="134" w:name="_Toc56420230"/>
      <w:bookmarkStart w:id="135" w:name="_Toc80801164"/>
      <w:r>
        <w:rPr>
          <w:rFonts w:hint="eastAsia"/>
        </w:rPr>
        <w:t>质量承诺</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pPr>
        <w:autoSpaceDE w:val="0"/>
        <w:autoSpaceDN w:val="0"/>
        <w:spacing w:line="240" w:lineRule="auto"/>
        <w:jc w:val="left"/>
        <w:rPr>
          <w:rFonts w:ascii="宋体" w:cs="宋体"/>
          <w:kern w:val="0"/>
        </w:rPr>
      </w:pPr>
      <w:r>
        <w:rPr>
          <w:rFonts w:ascii="黑体" w:eastAsia="黑体" w:cs="黑体"/>
          <w:kern w:val="0"/>
        </w:rPr>
        <w:t xml:space="preserve">9.1 </w:t>
      </w:r>
      <w:r>
        <w:rPr>
          <w:rFonts w:hint="eastAsia" w:ascii="宋体" w:cs="宋体"/>
          <w:kern w:val="0"/>
        </w:rPr>
        <w:t>在规定的产品运输和贮存条件下，</w:t>
      </w:r>
      <w:r>
        <w:rPr>
          <w:rFonts w:hint="eastAsia" w:ascii="宋体" w:hAnsi="宋体" w:eastAsia="宋体" w:cs="黑体"/>
        </w:rPr>
        <w:t>吡唑醚菌酯</w:t>
      </w:r>
      <w:r>
        <w:rPr>
          <w:rFonts w:hint="eastAsia" w:ascii="宋体" w:hAnsi="宋体" w:cs="黑体"/>
          <w:lang w:val="en-US" w:eastAsia="zh-CN"/>
        </w:rPr>
        <w:t>悬浮剂</w:t>
      </w:r>
      <w:r>
        <w:rPr>
          <w:rFonts w:hint="eastAsia" w:ascii="宋体" w:cs="宋体"/>
          <w:kern w:val="0"/>
        </w:rPr>
        <w:t>的质量保证期，从生产日期算起为</w:t>
      </w:r>
      <w:r>
        <w:rPr>
          <w:rFonts w:ascii="宋体" w:cs="宋体"/>
          <w:kern w:val="0"/>
        </w:rPr>
        <w:t xml:space="preserve">2 </w:t>
      </w:r>
      <w:r>
        <w:rPr>
          <w:rFonts w:hint="eastAsia" w:ascii="宋体" w:cs="宋体"/>
          <w:kern w:val="0"/>
        </w:rPr>
        <w:t>年。质量保证期内各项指标应符合标准要求，如出现质量问题，制造商无偿退货或补货。</w:t>
      </w:r>
    </w:p>
    <w:p>
      <w:pPr>
        <w:autoSpaceDE w:val="0"/>
        <w:autoSpaceDN w:val="0"/>
        <w:spacing w:line="240" w:lineRule="auto"/>
        <w:jc w:val="left"/>
      </w:pPr>
      <w:r>
        <w:rPr>
          <w:rFonts w:ascii="黑体" w:eastAsia="黑体" w:cs="黑体"/>
          <w:kern w:val="0"/>
        </w:rPr>
        <w:t xml:space="preserve">9.2 </w:t>
      </w:r>
      <w:r>
        <w:rPr>
          <w:rFonts w:hint="eastAsia" w:ascii="宋体" w:cs="宋体"/>
          <w:kern w:val="0"/>
        </w:rPr>
        <w:t>若用户对产品提出异议，制造商应在</w:t>
      </w:r>
      <w:r>
        <w:rPr>
          <w:rFonts w:ascii="宋体" w:cs="宋体"/>
          <w:kern w:val="0"/>
        </w:rPr>
        <w:t xml:space="preserve">24 </w:t>
      </w:r>
      <w:r>
        <w:rPr>
          <w:rFonts w:hint="eastAsia" w:ascii="宋体" w:cs="宋体"/>
          <w:kern w:val="0"/>
        </w:rPr>
        <w:t>小时内作出响应，</w:t>
      </w:r>
      <w:r>
        <w:rPr>
          <w:rFonts w:ascii="宋体" w:cs="宋体"/>
          <w:kern w:val="0"/>
        </w:rPr>
        <w:t xml:space="preserve">48 </w:t>
      </w:r>
      <w:r>
        <w:rPr>
          <w:rFonts w:hint="eastAsia" w:ascii="宋体" w:cs="宋体"/>
          <w:kern w:val="0"/>
        </w:rPr>
        <w:t>小时内提出处理方案；应用户操作不当或其他非质量导致产品无法正常使用，制造商应根据用户的需要组织或协助解决。</w:t>
      </w:r>
    </w:p>
    <w:bookmarkEnd w:id="18"/>
    <w:p>
      <w:pPr>
        <w:pStyle w:val="57"/>
        <w:ind w:firstLine="0" w:firstLineChars="0"/>
        <w:jc w:val="center"/>
      </w:pPr>
      <w:bookmarkStart w:id="136" w:name="BookMark8"/>
    </w:p>
    <w:p>
      <w:pPr>
        <w:pStyle w:val="57"/>
        <w:ind w:firstLine="0" w:firstLineChars="0"/>
        <w:jc w:val="center"/>
      </w:pPr>
    </w:p>
    <w:p>
      <w:pPr>
        <w:jc w:val="center"/>
        <w:rPr>
          <w:rFonts w:eastAsia="黑体"/>
        </w:rPr>
      </w:pPr>
      <w:r>
        <w:rPr>
          <w:rFonts w:eastAsia="黑体"/>
        </w:rPr>
        <w:t>附录A</w:t>
      </w:r>
    </w:p>
    <w:p>
      <w:pPr>
        <w:jc w:val="center"/>
        <w:rPr>
          <w:rFonts w:eastAsia="黑体"/>
        </w:rPr>
      </w:pPr>
      <w:r>
        <w:rPr>
          <w:rFonts w:eastAsia="黑体"/>
        </w:rPr>
        <w:t>（资料性附录）</w:t>
      </w:r>
    </w:p>
    <w:p>
      <w:pPr>
        <w:jc w:val="center"/>
        <w:rPr>
          <w:rFonts w:eastAsia="黑体"/>
        </w:rPr>
      </w:pPr>
      <w:r>
        <w:rPr>
          <w:rFonts w:eastAsia="黑体"/>
        </w:rPr>
        <w:t>有效成分的其他名称、结构式和基本物化参数</w:t>
      </w:r>
    </w:p>
    <w:p>
      <w:pPr>
        <w:jc w:val="center"/>
        <w:rPr>
          <w:rFonts w:eastAsia="黑体"/>
        </w:rPr>
      </w:pPr>
    </w:p>
    <w:p>
      <w:pPr>
        <w:pStyle w:val="232"/>
        <w:widowControl w:val="0"/>
        <w:ind w:firstLine="0" w:firstLineChars="0"/>
        <w:rPr>
          <w:rFonts w:ascii="Times New Roman" w:eastAsia="黑体"/>
          <w:kern w:val="2"/>
          <w:szCs w:val="21"/>
        </w:rPr>
      </w:pPr>
      <w:r>
        <w:rPr>
          <w:rFonts w:ascii="Times New Roman" w:hAnsi="Times New Roman" w:eastAsia="黑体"/>
          <w:kern w:val="2"/>
          <w:szCs w:val="21"/>
        </w:rPr>
        <w:t xml:space="preserve">A1 </w:t>
      </w:r>
      <w:r>
        <w:rPr>
          <w:rFonts w:hint="eastAsia" w:ascii="Times New Roman" w:hAnsi="Times New Roman" w:eastAsia="黑体"/>
          <w:kern w:val="2"/>
          <w:szCs w:val="21"/>
        </w:rPr>
        <w:t>吡唑醚菌酯</w:t>
      </w:r>
      <w:r>
        <w:rPr>
          <w:rFonts w:ascii="Times New Roman" w:hAnsi="Times New Roman" w:eastAsia="黑体"/>
          <w:kern w:val="2"/>
          <w:szCs w:val="21"/>
        </w:rPr>
        <w:t>的其他名称、结构式和基本物化参数如下：</w:t>
      </w:r>
    </w:p>
    <w:p>
      <w:pPr>
        <w:widowControl/>
        <w:ind w:firstLine="420" w:firstLineChars="200"/>
        <w:jc w:val="left"/>
      </w:pPr>
      <w:r>
        <w:rPr>
          <w:rFonts w:ascii="Times New Roman" w:hAnsi="Times New Roman"/>
        </w:rPr>
        <w:t>ISO通用名称：</w:t>
      </w:r>
      <w:r>
        <w:rPr>
          <w:rFonts w:hint="eastAsia" w:ascii="Times New Roman" w:hAnsi="Times New Roman"/>
        </w:rPr>
        <w:t xml:space="preserve">pyraclostrobin </w:t>
      </w:r>
    </w:p>
    <w:p>
      <w:pPr>
        <w:widowControl/>
        <w:ind w:firstLine="420" w:firstLineChars="200"/>
        <w:jc w:val="left"/>
      </w:pPr>
      <w:r>
        <w:rPr>
          <w:rFonts w:hint="eastAsia" w:ascii="Times New Roman" w:hAnsi="Times New Roman"/>
        </w:rPr>
        <w:t>CAS 登记号：175013-18-0</w:t>
      </w:r>
    </w:p>
    <w:p>
      <w:pPr>
        <w:widowControl/>
        <w:ind w:firstLine="420" w:firstLineChars="200"/>
        <w:jc w:val="left"/>
      </w:pPr>
      <w:r>
        <w:rPr>
          <w:rFonts w:hint="eastAsia" w:ascii="Times New Roman" w:hAnsi="Times New Roman"/>
        </w:rPr>
        <w:t xml:space="preserve">CIPAC 数学代号：657 </w:t>
      </w:r>
    </w:p>
    <w:p>
      <w:pPr>
        <w:widowControl/>
        <w:ind w:firstLine="420" w:firstLineChars="200"/>
        <w:jc w:val="left"/>
      </w:pPr>
      <w:r>
        <w:rPr>
          <w:rFonts w:hint="eastAsia" w:ascii="Times New Roman" w:hAnsi="Times New Roman"/>
        </w:rPr>
        <w:t xml:space="preserve">化学名称：N-[2-[1-(4-氯苯）吡唑-3-基]氧甲基]苯基]-N-甲氧基氨基甲酸甲酯 </w:t>
      </w:r>
    </w:p>
    <w:p>
      <w:pPr>
        <w:widowControl/>
        <w:ind w:firstLine="420" w:firstLineChars="200"/>
        <w:jc w:val="left"/>
        <w:rPr>
          <w:rFonts w:ascii="Times New Roman" w:hAnsi="Times New Roman"/>
        </w:rPr>
      </w:pPr>
      <w:r>
        <w:rPr>
          <w:rFonts w:hint="eastAsia" w:ascii="Times New Roman" w:hAnsi="Times New Roman"/>
        </w:rPr>
        <w:t xml:space="preserve">结构式： </w:t>
      </w:r>
    </w:p>
    <w:p>
      <w:pPr>
        <w:widowControl/>
        <w:ind w:firstLine="420" w:firstLineChars="200"/>
        <w:jc w:val="left"/>
        <w:rPr>
          <w:rFonts w:ascii="Times New Roman" w:hAnsi="Times New Roman"/>
        </w:rPr>
      </w:pPr>
      <w:r>
        <w:drawing>
          <wp:anchor distT="0" distB="0" distL="114300" distR="114300" simplePos="0" relativeHeight="251662336" behindDoc="0" locked="0" layoutInCell="1" allowOverlap="1">
            <wp:simplePos x="0" y="0"/>
            <wp:positionH relativeFrom="column">
              <wp:posOffset>1528445</wp:posOffset>
            </wp:positionH>
            <wp:positionV relativeFrom="paragraph">
              <wp:posOffset>144145</wp:posOffset>
            </wp:positionV>
            <wp:extent cx="2230120" cy="718820"/>
            <wp:effectExtent l="0" t="0" r="0" b="5080"/>
            <wp:wrapSquare wrapText="bothSides"/>
            <wp:docPr id="3" name="图片 4" descr="TS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TS1797"/>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30120" cy="718820"/>
                    </a:xfrm>
                    <a:prstGeom prst="rect">
                      <a:avLst/>
                    </a:prstGeom>
                    <a:noFill/>
                    <a:ln>
                      <a:noFill/>
                    </a:ln>
                  </pic:spPr>
                </pic:pic>
              </a:graphicData>
            </a:graphic>
          </wp:anchor>
        </w:drawing>
      </w:r>
    </w:p>
    <w:p>
      <w:pPr>
        <w:widowControl/>
        <w:ind w:firstLine="420" w:firstLineChars="200"/>
        <w:jc w:val="left"/>
      </w:pPr>
    </w:p>
    <w:p>
      <w:pPr>
        <w:widowControl/>
        <w:ind w:firstLine="420" w:firstLineChars="200"/>
        <w:jc w:val="left"/>
      </w:pPr>
    </w:p>
    <w:p>
      <w:pPr>
        <w:widowControl/>
        <w:ind w:firstLine="420" w:firstLineChars="200"/>
        <w:jc w:val="left"/>
        <w:rPr>
          <w:rFonts w:hint="eastAsia"/>
        </w:rPr>
      </w:pPr>
    </w:p>
    <w:p>
      <w:pPr>
        <w:widowControl/>
        <w:ind w:firstLine="420" w:firstLineChars="200"/>
        <w:jc w:val="center"/>
      </w:pPr>
    </w:p>
    <w:p>
      <w:pPr>
        <w:widowControl/>
        <w:ind w:firstLine="420" w:firstLineChars="200"/>
        <w:jc w:val="left"/>
      </w:pPr>
      <w:r>
        <w:rPr>
          <w:rFonts w:ascii="Times New Roman" w:hAnsi="Times New Roman"/>
          <w:color w:val="000000"/>
          <w:kern w:val="0"/>
          <w:lang w:bidi="ar"/>
        </w:rPr>
        <w:t>分子式：C</w:t>
      </w:r>
      <w:r>
        <w:rPr>
          <w:rFonts w:ascii="Times New Roman" w:hAnsi="Times New Roman"/>
          <w:color w:val="000000"/>
          <w:kern w:val="0"/>
          <w:vertAlign w:val="subscript"/>
          <w:lang w:bidi="ar"/>
        </w:rPr>
        <w:t>19</w:t>
      </w:r>
      <w:r>
        <w:rPr>
          <w:rFonts w:ascii="Times New Roman" w:hAnsi="Times New Roman"/>
          <w:color w:val="000000"/>
          <w:kern w:val="0"/>
          <w:lang w:bidi="ar"/>
        </w:rPr>
        <w:t>H</w:t>
      </w:r>
      <w:r>
        <w:rPr>
          <w:rFonts w:ascii="Times New Roman" w:hAnsi="Times New Roman"/>
          <w:color w:val="000000"/>
          <w:kern w:val="0"/>
          <w:vertAlign w:val="subscript"/>
          <w:lang w:bidi="ar"/>
        </w:rPr>
        <w:t>18</w:t>
      </w:r>
      <w:r>
        <w:rPr>
          <w:rFonts w:ascii="Times New Roman" w:hAnsi="Times New Roman"/>
          <w:color w:val="000000"/>
          <w:kern w:val="0"/>
          <w:lang w:bidi="ar"/>
        </w:rPr>
        <w:t>ClN</w:t>
      </w:r>
      <w:r>
        <w:rPr>
          <w:rFonts w:ascii="Times New Roman" w:hAnsi="Times New Roman"/>
          <w:color w:val="000000"/>
          <w:kern w:val="0"/>
          <w:vertAlign w:val="subscript"/>
          <w:lang w:bidi="ar"/>
        </w:rPr>
        <w:t>3</w:t>
      </w:r>
      <w:r>
        <w:rPr>
          <w:rFonts w:ascii="Times New Roman" w:hAnsi="Times New Roman"/>
          <w:color w:val="000000"/>
          <w:kern w:val="0"/>
          <w:lang w:bidi="ar"/>
        </w:rPr>
        <w:t>O</w:t>
      </w:r>
      <w:r>
        <w:rPr>
          <w:rFonts w:ascii="Times New Roman" w:hAnsi="Times New Roman"/>
          <w:color w:val="000000"/>
          <w:kern w:val="0"/>
          <w:vertAlign w:val="subscript"/>
          <w:lang w:bidi="ar"/>
        </w:rPr>
        <w:t>4</w:t>
      </w:r>
      <w:r>
        <w:rPr>
          <w:rFonts w:hint="eastAsia" w:ascii="宋体" w:hAnsi="宋体" w:cs="宋体"/>
          <w:color w:val="000000"/>
          <w:kern w:val="0"/>
          <w:lang w:bidi="ar"/>
        </w:rPr>
        <w:t xml:space="preserve"> </w:t>
      </w:r>
    </w:p>
    <w:p>
      <w:pPr>
        <w:widowControl/>
        <w:ind w:firstLine="420" w:firstLineChars="200"/>
        <w:jc w:val="left"/>
      </w:pPr>
      <w:r>
        <w:rPr>
          <w:rFonts w:hint="eastAsia" w:ascii="Times New Roman" w:hAnsi="Times New Roman"/>
        </w:rPr>
        <w:t xml:space="preserve">相对分子质量：387.8 </w:t>
      </w:r>
    </w:p>
    <w:p>
      <w:pPr>
        <w:widowControl/>
        <w:ind w:firstLine="420" w:firstLineChars="200"/>
        <w:jc w:val="left"/>
      </w:pPr>
      <w:r>
        <w:rPr>
          <w:rFonts w:hint="eastAsia" w:ascii="Times New Roman" w:hAnsi="Times New Roman"/>
        </w:rPr>
        <w:t xml:space="preserve">生物活性：杀菌 </w:t>
      </w:r>
    </w:p>
    <w:p>
      <w:pPr>
        <w:widowControl/>
        <w:ind w:firstLine="420" w:firstLineChars="200"/>
        <w:jc w:val="left"/>
      </w:pPr>
      <w:r>
        <w:rPr>
          <w:rFonts w:hint="eastAsia" w:ascii="Times New Roman" w:hAnsi="Times New Roman"/>
        </w:rPr>
        <w:t xml:space="preserve">熔点：63.7-65.2℃ </w:t>
      </w:r>
    </w:p>
    <w:p>
      <w:pPr>
        <w:widowControl/>
        <w:ind w:firstLine="420" w:firstLineChars="200"/>
        <w:jc w:val="left"/>
      </w:pPr>
      <w:r>
        <w:rPr>
          <w:rFonts w:hint="eastAsia" w:ascii="Times New Roman" w:hAnsi="Times New Roman"/>
        </w:rPr>
        <w:t>溶解度(20℃)：水中1.9mg/L，正庚烷3.7g/L，异丙醇30.0g/L，辛醇24.2g/L，橄榄油28.0g/L，甲醇100.8g/L，丙酮、乙酸乙酯、乙腈、二氯甲烷和甲苯＞500g/L</w:t>
      </w:r>
      <w:r>
        <w:rPr>
          <w:rFonts w:hint="eastAsia"/>
        </w:rPr>
        <w:t>。</w:t>
      </w:r>
      <w:r>
        <w:rPr>
          <w:rFonts w:hint="eastAsia" w:ascii="Times New Roman" w:hAnsi="Times New Roman"/>
        </w:rPr>
        <w:t xml:space="preserve"> </w:t>
      </w:r>
    </w:p>
    <w:p>
      <w:pPr>
        <w:widowControl/>
        <w:ind w:firstLine="420" w:firstLineChars="200"/>
        <w:jc w:val="left"/>
      </w:pPr>
      <w:r>
        <w:rPr>
          <w:rFonts w:hint="eastAsia" w:ascii="Times New Roman" w:hAnsi="Times New Roman"/>
        </w:rPr>
        <w:t>稳定性：稳定时间大于30d(pH5～7,25℃)；水中光解DT</w:t>
      </w:r>
      <w:r>
        <w:rPr>
          <w:rFonts w:hint="eastAsia" w:ascii="Times New Roman" w:hAnsi="Times New Roman"/>
          <w:vertAlign w:val="subscript"/>
        </w:rPr>
        <w:t>50</w:t>
      </w:r>
      <w:r>
        <w:rPr>
          <w:rFonts w:hint="eastAsia" w:ascii="Times New Roman" w:hAnsi="Times New Roman"/>
        </w:rPr>
        <w:t>1.7d。</w:t>
      </w:r>
    </w:p>
    <w:p>
      <w:pPr>
        <w:pStyle w:val="57"/>
        <w:ind w:firstLine="0" w:firstLineChars="0"/>
        <w:jc w:val="center"/>
      </w:pPr>
    </w:p>
    <w:p>
      <w:pPr>
        <w:pStyle w:val="57"/>
        <w:ind w:firstLine="0" w:firstLineChars="0"/>
        <w:jc w:val="center"/>
      </w:pPr>
    </w:p>
    <w:bookmarkEnd w:id="136"/>
    <w:p>
      <w:pPr>
        <w:pStyle w:val="57"/>
        <w:ind w:firstLine="0" w:firstLineChars="0"/>
        <w:jc w:val="center"/>
        <w:rPr>
          <w:rFonts w:hint="eastAsia"/>
        </w:rPr>
      </w:pPr>
    </w:p>
    <w:sectPr>
      <w:pgSz w:w="11906" w:h="16838"/>
      <w:pgMar w:top="567"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roman"/>
    <w:pitch w:val="default"/>
    <w:sig w:usb0="00000000" w:usb1="00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 w:name="MS P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T/ZZB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T/ZZB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933696"/>
    <w:multiLevelType w:val="multilevel"/>
    <w:tmpl w:val="00933696"/>
    <w:lvl w:ilvl="0" w:tentative="0">
      <w:start w:val="1"/>
      <w:numFmt w:val="lowerLetter"/>
      <w:pStyle w:val="240"/>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33"/>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7"/>
      <w:suff w:val="nothing"/>
      <w:lvlText w:val="%1.%2.%3　"/>
      <w:lvlJc w:val="left"/>
      <w:pPr>
        <w:ind w:left="0" w:firstLine="0"/>
      </w:pPr>
      <w:rPr>
        <w:rFonts w:hint="eastAsia" w:ascii="黑体" w:hAnsi="Times New Roman" w:eastAsia="黑体"/>
        <w:b w:val="0"/>
        <w:i w:val="0"/>
        <w:sz w:val="21"/>
      </w:rPr>
    </w:lvl>
    <w:lvl w:ilvl="3" w:tentative="0">
      <w:start w:val="1"/>
      <w:numFmt w:val="decimal"/>
      <w:pStyle w:val="236"/>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7"/>
        </w:tabs>
        <w:ind w:left="1417"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6"/>
      <w:suff w:val="nothing"/>
      <w:lvlText w:val="%1%2.%3.%4　"/>
      <w:lvlJc w:val="left"/>
      <w:pPr>
        <w:ind w:left="3828"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xN2RjNDEyZGZjYWY0YTg2NzVjZGMyYWQ5MzlmZDIifQ=="/>
  </w:docVars>
  <w:rsids>
    <w:rsidRoot w:val="00EC1191"/>
    <w:rsid w:val="0000040A"/>
    <w:rsid w:val="00000A94"/>
    <w:rsid w:val="00001972"/>
    <w:rsid w:val="00001D9A"/>
    <w:rsid w:val="0000209D"/>
    <w:rsid w:val="00003D14"/>
    <w:rsid w:val="00007010"/>
    <w:rsid w:val="00007B3A"/>
    <w:rsid w:val="000107E0"/>
    <w:rsid w:val="000109AC"/>
    <w:rsid w:val="00011FDE"/>
    <w:rsid w:val="00012FFD"/>
    <w:rsid w:val="0001379C"/>
    <w:rsid w:val="00014162"/>
    <w:rsid w:val="00014340"/>
    <w:rsid w:val="00016A9C"/>
    <w:rsid w:val="00020A09"/>
    <w:rsid w:val="00022184"/>
    <w:rsid w:val="00022762"/>
    <w:rsid w:val="000238E0"/>
    <w:rsid w:val="000249DB"/>
    <w:rsid w:val="0002595E"/>
    <w:rsid w:val="000303C3"/>
    <w:rsid w:val="00031D73"/>
    <w:rsid w:val="000331D3"/>
    <w:rsid w:val="00033F28"/>
    <w:rsid w:val="000346A5"/>
    <w:rsid w:val="000359C3"/>
    <w:rsid w:val="00035A7D"/>
    <w:rsid w:val="00036533"/>
    <w:rsid w:val="000365ED"/>
    <w:rsid w:val="000366DF"/>
    <w:rsid w:val="000403BF"/>
    <w:rsid w:val="00040AE0"/>
    <w:rsid w:val="0004249A"/>
    <w:rsid w:val="0004263D"/>
    <w:rsid w:val="00043282"/>
    <w:rsid w:val="00044286"/>
    <w:rsid w:val="00047F28"/>
    <w:rsid w:val="0005022E"/>
    <w:rsid w:val="000503AA"/>
    <w:rsid w:val="000506A1"/>
    <w:rsid w:val="000515DD"/>
    <w:rsid w:val="0005265A"/>
    <w:rsid w:val="00052FCF"/>
    <w:rsid w:val="000535FF"/>
    <w:rsid w:val="000539DD"/>
    <w:rsid w:val="00053BD3"/>
    <w:rsid w:val="00054978"/>
    <w:rsid w:val="000556ED"/>
    <w:rsid w:val="00055FE2"/>
    <w:rsid w:val="0005616F"/>
    <w:rsid w:val="00057B4C"/>
    <w:rsid w:val="00060C2E"/>
    <w:rsid w:val="00061033"/>
    <w:rsid w:val="000619E9"/>
    <w:rsid w:val="000622D4"/>
    <w:rsid w:val="0006357D"/>
    <w:rsid w:val="000652B0"/>
    <w:rsid w:val="00067F1E"/>
    <w:rsid w:val="00070FE7"/>
    <w:rsid w:val="00071CC0"/>
    <w:rsid w:val="00071CFC"/>
    <w:rsid w:val="00073C8C"/>
    <w:rsid w:val="00077B64"/>
    <w:rsid w:val="00080A1C"/>
    <w:rsid w:val="0008213B"/>
    <w:rsid w:val="00082317"/>
    <w:rsid w:val="00083D2C"/>
    <w:rsid w:val="00086AA1"/>
    <w:rsid w:val="00087A77"/>
    <w:rsid w:val="00090CA6"/>
    <w:rsid w:val="00092B8A"/>
    <w:rsid w:val="00092FB0"/>
    <w:rsid w:val="000934C5"/>
    <w:rsid w:val="00093D25"/>
    <w:rsid w:val="00093DAB"/>
    <w:rsid w:val="00094D73"/>
    <w:rsid w:val="00096D63"/>
    <w:rsid w:val="00096F74"/>
    <w:rsid w:val="00097982"/>
    <w:rsid w:val="000A0299"/>
    <w:rsid w:val="000A0B60"/>
    <w:rsid w:val="000A0EB8"/>
    <w:rsid w:val="000A1272"/>
    <w:rsid w:val="000A19FC"/>
    <w:rsid w:val="000A296B"/>
    <w:rsid w:val="000A7311"/>
    <w:rsid w:val="000A7F34"/>
    <w:rsid w:val="000B060F"/>
    <w:rsid w:val="000B1592"/>
    <w:rsid w:val="000B1FF2"/>
    <w:rsid w:val="000B3CDA"/>
    <w:rsid w:val="000B6A0B"/>
    <w:rsid w:val="000C0F6C"/>
    <w:rsid w:val="000C11DB"/>
    <w:rsid w:val="000C1492"/>
    <w:rsid w:val="000C2FBD"/>
    <w:rsid w:val="000C4B41"/>
    <w:rsid w:val="000C5640"/>
    <w:rsid w:val="000C57D6"/>
    <w:rsid w:val="000C60D2"/>
    <w:rsid w:val="000C60ED"/>
    <w:rsid w:val="000C6362"/>
    <w:rsid w:val="000C7666"/>
    <w:rsid w:val="000D0A9C"/>
    <w:rsid w:val="000D1795"/>
    <w:rsid w:val="000D329A"/>
    <w:rsid w:val="000D429A"/>
    <w:rsid w:val="000D46D6"/>
    <w:rsid w:val="000D4B9C"/>
    <w:rsid w:val="000D4EB6"/>
    <w:rsid w:val="000D4FD7"/>
    <w:rsid w:val="000D59A0"/>
    <w:rsid w:val="000D753B"/>
    <w:rsid w:val="000E2BB6"/>
    <w:rsid w:val="000E476C"/>
    <w:rsid w:val="000E4C9E"/>
    <w:rsid w:val="000E5B57"/>
    <w:rsid w:val="000E6FD7"/>
    <w:rsid w:val="000F05F4"/>
    <w:rsid w:val="000F06E1"/>
    <w:rsid w:val="000F0E3C"/>
    <w:rsid w:val="000F19D5"/>
    <w:rsid w:val="000F39A3"/>
    <w:rsid w:val="000F4050"/>
    <w:rsid w:val="000F4AEA"/>
    <w:rsid w:val="000F67E9"/>
    <w:rsid w:val="001020DF"/>
    <w:rsid w:val="00104926"/>
    <w:rsid w:val="00113B1E"/>
    <w:rsid w:val="0011711C"/>
    <w:rsid w:val="001209ED"/>
    <w:rsid w:val="00122819"/>
    <w:rsid w:val="00124E4F"/>
    <w:rsid w:val="001260B7"/>
    <w:rsid w:val="001265CB"/>
    <w:rsid w:val="001321C6"/>
    <w:rsid w:val="001325C4"/>
    <w:rsid w:val="00133010"/>
    <w:rsid w:val="001338EE"/>
    <w:rsid w:val="00133AAE"/>
    <w:rsid w:val="00134650"/>
    <w:rsid w:val="00135323"/>
    <w:rsid w:val="001356C4"/>
    <w:rsid w:val="00137565"/>
    <w:rsid w:val="00141114"/>
    <w:rsid w:val="00142969"/>
    <w:rsid w:val="001446C2"/>
    <w:rsid w:val="001457E7"/>
    <w:rsid w:val="00145D9D"/>
    <w:rsid w:val="00146388"/>
    <w:rsid w:val="00146A8F"/>
    <w:rsid w:val="001529E5"/>
    <w:rsid w:val="00152FB3"/>
    <w:rsid w:val="00153C7E"/>
    <w:rsid w:val="00156B25"/>
    <w:rsid w:val="00156E1A"/>
    <w:rsid w:val="00157894"/>
    <w:rsid w:val="00157A02"/>
    <w:rsid w:val="00157B55"/>
    <w:rsid w:val="00157E2F"/>
    <w:rsid w:val="00163E8F"/>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AAA"/>
    <w:rsid w:val="00182BCA"/>
    <w:rsid w:val="001852C9"/>
    <w:rsid w:val="00187A0B"/>
    <w:rsid w:val="00190087"/>
    <w:rsid w:val="001913C4"/>
    <w:rsid w:val="0019348F"/>
    <w:rsid w:val="00193A07"/>
    <w:rsid w:val="00194C95"/>
    <w:rsid w:val="00195C34"/>
    <w:rsid w:val="001969AF"/>
    <w:rsid w:val="00196EF5"/>
    <w:rsid w:val="001973F9"/>
    <w:rsid w:val="001A1A53"/>
    <w:rsid w:val="001A2166"/>
    <w:rsid w:val="001A234A"/>
    <w:rsid w:val="001A3F1A"/>
    <w:rsid w:val="001A4CF3"/>
    <w:rsid w:val="001A6696"/>
    <w:rsid w:val="001B06E8"/>
    <w:rsid w:val="001B2B8A"/>
    <w:rsid w:val="001B4E14"/>
    <w:rsid w:val="001B71D0"/>
    <w:rsid w:val="001B71EE"/>
    <w:rsid w:val="001C04A8"/>
    <w:rsid w:val="001C0B69"/>
    <w:rsid w:val="001C10A4"/>
    <w:rsid w:val="001C1B88"/>
    <w:rsid w:val="001C2C03"/>
    <w:rsid w:val="001C42F7"/>
    <w:rsid w:val="001C49E5"/>
    <w:rsid w:val="001C680C"/>
    <w:rsid w:val="001C7FEA"/>
    <w:rsid w:val="001D0499"/>
    <w:rsid w:val="001D0BBE"/>
    <w:rsid w:val="001D0ED4"/>
    <w:rsid w:val="001D212F"/>
    <w:rsid w:val="001D29D7"/>
    <w:rsid w:val="001D2DE7"/>
    <w:rsid w:val="001D3D26"/>
    <w:rsid w:val="001D411C"/>
    <w:rsid w:val="001D6482"/>
    <w:rsid w:val="001E1B6A"/>
    <w:rsid w:val="001E2484"/>
    <w:rsid w:val="001E3488"/>
    <w:rsid w:val="001E3CC4"/>
    <w:rsid w:val="001E4882"/>
    <w:rsid w:val="001E4C3F"/>
    <w:rsid w:val="001E73AB"/>
    <w:rsid w:val="001F092D"/>
    <w:rsid w:val="001F143A"/>
    <w:rsid w:val="001F1605"/>
    <w:rsid w:val="001F2508"/>
    <w:rsid w:val="001F368E"/>
    <w:rsid w:val="001F4816"/>
    <w:rsid w:val="001F61DA"/>
    <w:rsid w:val="001F69B4"/>
    <w:rsid w:val="001F77C7"/>
    <w:rsid w:val="00200183"/>
    <w:rsid w:val="00200333"/>
    <w:rsid w:val="00200B87"/>
    <w:rsid w:val="0020107D"/>
    <w:rsid w:val="00202AA4"/>
    <w:rsid w:val="002031F7"/>
    <w:rsid w:val="002040E6"/>
    <w:rsid w:val="0020527B"/>
    <w:rsid w:val="00205F2C"/>
    <w:rsid w:val="00210B15"/>
    <w:rsid w:val="0021329C"/>
    <w:rsid w:val="002142EA"/>
    <w:rsid w:val="00215ADD"/>
    <w:rsid w:val="002204BB"/>
    <w:rsid w:val="00221B79"/>
    <w:rsid w:val="00221C6B"/>
    <w:rsid w:val="00222AC0"/>
    <w:rsid w:val="00222BC4"/>
    <w:rsid w:val="002253A1"/>
    <w:rsid w:val="00225CF8"/>
    <w:rsid w:val="00226553"/>
    <w:rsid w:val="0022794E"/>
    <w:rsid w:val="00233D64"/>
    <w:rsid w:val="0023482A"/>
    <w:rsid w:val="002359CB"/>
    <w:rsid w:val="00240AB6"/>
    <w:rsid w:val="0024290E"/>
    <w:rsid w:val="00243540"/>
    <w:rsid w:val="0024497B"/>
    <w:rsid w:val="00244A1A"/>
    <w:rsid w:val="00244D4F"/>
    <w:rsid w:val="0024515B"/>
    <w:rsid w:val="00246021"/>
    <w:rsid w:val="0024666E"/>
    <w:rsid w:val="00247F52"/>
    <w:rsid w:val="00250B25"/>
    <w:rsid w:val="00250BBE"/>
    <w:rsid w:val="002515C2"/>
    <w:rsid w:val="0025194F"/>
    <w:rsid w:val="002524B8"/>
    <w:rsid w:val="0025685F"/>
    <w:rsid w:val="0026148A"/>
    <w:rsid w:val="00261A96"/>
    <w:rsid w:val="00261C29"/>
    <w:rsid w:val="00262696"/>
    <w:rsid w:val="00263D25"/>
    <w:rsid w:val="002643C3"/>
    <w:rsid w:val="00264A0C"/>
    <w:rsid w:val="00266EEB"/>
    <w:rsid w:val="00267CB2"/>
    <w:rsid w:val="00267EF4"/>
    <w:rsid w:val="00270CB8"/>
    <w:rsid w:val="00272B08"/>
    <w:rsid w:val="00281BB8"/>
    <w:rsid w:val="00281E9E"/>
    <w:rsid w:val="00282405"/>
    <w:rsid w:val="00283718"/>
    <w:rsid w:val="00285170"/>
    <w:rsid w:val="00285361"/>
    <w:rsid w:val="0029041D"/>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0D10"/>
    <w:rsid w:val="002B13E1"/>
    <w:rsid w:val="002B1966"/>
    <w:rsid w:val="002B39A7"/>
    <w:rsid w:val="002B4508"/>
    <w:rsid w:val="002B5779"/>
    <w:rsid w:val="002B7332"/>
    <w:rsid w:val="002B7F51"/>
    <w:rsid w:val="002C09E7"/>
    <w:rsid w:val="002C1E06"/>
    <w:rsid w:val="002C3F07"/>
    <w:rsid w:val="002C5278"/>
    <w:rsid w:val="002C67DF"/>
    <w:rsid w:val="002C7469"/>
    <w:rsid w:val="002C7EBB"/>
    <w:rsid w:val="002D06C1"/>
    <w:rsid w:val="002D06FA"/>
    <w:rsid w:val="002D42B5"/>
    <w:rsid w:val="002D4F1A"/>
    <w:rsid w:val="002D6EC6"/>
    <w:rsid w:val="002D79AC"/>
    <w:rsid w:val="002E039D"/>
    <w:rsid w:val="002E444A"/>
    <w:rsid w:val="002E4D5A"/>
    <w:rsid w:val="002E6326"/>
    <w:rsid w:val="002F30E0"/>
    <w:rsid w:val="002F35E4"/>
    <w:rsid w:val="002F3730"/>
    <w:rsid w:val="002F38E1"/>
    <w:rsid w:val="002F471D"/>
    <w:rsid w:val="002F487D"/>
    <w:rsid w:val="002F4B4F"/>
    <w:rsid w:val="002F68C1"/>
    <w:rsid w:val="002F7AF6"/>
    <w:rsid w:val="0030057E"/>
    <w:rsid w:val="00300E63"/>
    <w:rsid w:val="00302F5F"/>
    <w:rsid w:val="0030441D"/>
    <w:rsid w:val="00306063"/>
    <w:rsid w:val="00307F69"/>
    <w:rsid w:val="00310B89"/>
    <w:rsid w:val="003118CB"/>
    <w:rsid w:val="00311B3C"/>
    <w:rsid w:val="00313B85"/>
    <w:rsid w:val="00317988"/>
    <w:rsid w:val="003221B4"/>
    <w:rsid w:val="0032258D"/>
    <w:rsid w:val="00322CD5"/>
    <w:rsid w:val="00322E62"/>
    <w:rsid w:val="00324D13"/>
    <w:rsid w:val="00324EDD"/>
    <w:rsid w:val="00330CB1"/>
    <w:rsid w:val="003331E4"/>
    <w:rsid w:val="00334E77"/>
    <w:rsid w:val="00336C64"/>
    <w:rsid w:val="00337162"/>
    <w:rsid w:val="0034194F"/>
    <w:rsid w:val="00342B30"/>
    <w:rsid w:val="00342E6E"/>
    <w:rsid w:val="00344605"/>
    <w:rsid w:val="00345FE1"/>
    <w:rsid w:val="003460DE"/>
    <w:rsid w:val="00346454"/>
    <w:rsid w:val="003474AA"/>
    <w:rsid w:val="00350D1D"/>
    <w:rsid w:val="003514F4"/>
    <w:rsid w:val="00352C83"/>
    <w:rsid w:val="00352F1A"/>
    <w:rsid w:val="0035553D"/>
    <w:rsid w:val="0036107C"/>
    <w:rsid w:val="003614E3"/>
    <w:rsid w:val="003615D2"/>
    <w:rsid w:val="0036429C"/>
    <w:rsid w:val="00364A53"/>
    <w:rsid w:val="00365486"/>
    <w:rsid w:val="003654CB"/>
    <w:rsid w:val="003654F9"/>
    <w:rsid w:val="00365AA9"/>
    <w:rsid w:val="00365F86"/>
    <w:rsid w:val="00365F87"/>
    <w:rsid w:val="00366E89"/>
    <w:rsid w:val="003705F4"/>
    <w:rsid w:val="00370D58"/>
    <w:rsid w:val="00371316"/>
    <w:rsid w:val="0037480D"/>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6BB0"/>
    <w:rsid w:val="003974EB"/>
    <w:rsid w:val="003978FB"/>
    <w:rsid w:val="00397CC5"/>
    <w:rsid w:val="003A12C9"/>
    <w:rsid w:val="003A1582"/>
    <w:rsid w:val="003A3D9C"/>
    <w:rsid w:val="003A4077"/>
    <w:rsid w:val="003A4AA7"/>
    <w:rsid w:val="003A5D9A"/>
    <w:rsid w:val="003B09AD"/>
    <w:rsid w:val="003B1F18"/>
    <w:rsid w:val="003B4A18"/>
    <w:rsid w:val="003B4F78"/>
    <w:rsid w:val="003B5BF0"/>
    <w:rsid w:val="003B60BF"/>
    <w:rsid w:val="003B6BE3"/>
    <w:rsid w:val="003B70B4"/>
    <w:rsid w:val="003C010C"/>
    <w:rsid w:val="003C0A6C"/>
    <w:rsid w:val="003C14F8"/>
    <w:rsid w:val="003C5A43"/>
    <w:rsid w:val="003C5F2B"/>
    <w:rsid w:val="003D003E"/>
    <w:rsid w:val="003D0519"/>
    <w:rsid w:val="003D0FF6"/>
    <w:rsid w:val="003D262C"/>
    <w:rsid w:val="003D369F"/>
    <w:rsid w:val="003D6D61"/>
    <w:rsid w:val="003E091D"/>
    <w:rsid w:val="003E1C53"/>
    <w:rsid w:val="003E2A69"/>
    <w:rsid w:val="003E2D49"/>
    <w:rsid w:val="003E2FD4"/>
    <w:rsid w:val="003E49F6"/>
    <w:rsid w:val="003E5171"/>
    <w:rsid w:val="003E5429"/>
    <w:rsid w:val="003E660F"/>
    <w:rsid w:val="003F0841"/>
    <w:rsid w:val="003F23D3"/>
    <w:rsid w:val="003F3F08"/>
    <w:rsid w:val="003F49F1"/>
    <w:rsid w:val="003F55D1"/>
    <w:rsid w:val="003F6272"/>
    <w:rsid w:val="003F7D32"/>
    <w:rsid w:val="00400E72"/>
    <w:rsid w:val="00401400"/>
    <w:rsid w:val="00404869"/>
    <w:rsid w:val="00405884"/>
    <w:rsid w:val="00406000"/>
    <w:rsid w:val="00407D39"/>
    <w:rsid w:val="00412D6A"/>
    <w:rsid w:val="0041477A"/>
    <w:rsid w:val="004167A3"/>
    <w:rsid w:val="00427083"/>
    <w:rsid w:val="00431459"/>
    <w:rsid w:val="00432DAA"/>
    <w:rsid w:val="00433925"/>
    <w:rsid w:val="00434305"/>
    <w:rsid w:val="00435DF7"/>
    <w:rsid w:val="00436D82"/>
    <w:rsid w:val="0044083F"/>
    <w:rsid w:val="00441AE7"/>
    <w:rsid w:val="00443C1C"/>
    <w:rsid w:val="00445574"/>
    <w:rsid w:val="004467FB"/>
    <w:rsid w:val="00450594"/>
    <w:rsid w:val="00452D6B"/>
    <w:rsid w:val="00454483"/>
    <w:rsid w:val="00454484"/>
    <w:rsid w:val="0045517B"/>
    <w:rsid w:val="00460231"/>
    <w:rsid w:val="00463B77"/>
    <w:rsid w:val="00463C7B"/>
    <w:rsid w:val="004644A6"/>
    <w:rsid w:val="004659BD"/>
    <w:rsid w:val="00467934"/>
    <w:rsid w:val="00470775"/>
    <w:rsid w:val="004746B1"/>
    <w:rsid w:val="0047583F"/>
    <w:rsid w:val="00475DB4"/>
    <w:rsid w:val="00475DE8"/>
    <w:rsid w:val="00481C44"/>
    <w:rsid w:val="00483EE5"/>
    <w:rsid w:val="00484936"/>
    <w:rsid w:val="00485C89"/>
    <w:rsid w:val="00486BE3"/>
    <w:rsid w:val="00487B64"/>
    <w:rsid w:val="004902B5"/>
    <w:rsid w:val="004905E4"/>
    <w:rsid w:val="00490A89"/>
    <w:rsid w:val="00490AB4"/>
    <w:rsid w:val="00492F02"/>
    <w:rsid w:val="004939AE"/>
    <w:rsid w:val="004960F9"/>
    <w:rsid w:val="004A12DF"/>
    <w:rsid w:val="004A1BA8"/>
    <w:rsid w:val="004A1C35"/>
    <w:rsid w:val="004A4B57"/>
    <w:rsid w:val="004A63FA"/>
    <w:rsid w:val="004A6874"/>
    <w:rsid w:val="004A6A3D"/>
    <w:rsid w:val="004B0272"/>
    <w:rsid w:val="004B2701"/>
    <w:rsid w:val="004B2E1B"/>
    <w:rsid w:val="004B3AA8"/>
    <w:rsid w:val="004B3DEE"/>
    <w:rsid w:val="004B3E93"/>
    <w:rsid w:val="004B587B"/>
    <w:rsid w:val="004C069B"/>
    <w:rsid w:val="004C1FBC"/>
    <w:rsid w:val="004C2003"/>
    <w:rsid w:val="004C25A2"/>
    <w:rsid w:val="004C3F1D"/>
    <w:rsid w:val="004C458D"/>
    <w:rsid w:val="004C53D6"/>
    <w:rsid w:val="004C7556"/>
    <w:rsid w:val="004C7E8B"/>
    <w:rsid w:val="004C7E9D"/>
    <w:rsid w:val="004C7F67"/>
    <w:rsid w:val="004D076D"/>
    <w:rsid w:val="004D0A07"/>
    <w:rsid w:val="004D0EF1"/>
    <w:rsid w:val="004D2253"/>
    <w:rsid w:val="004D3CD1"/>
    <w:rsid w:val="004D4406"/>
    <w:rsid w:val="004D6CFF"/>
    <w:rsid w:val="004D7C42"/>
    <w:rsid w:val="004E0465"/>
    <w:rsid w:val="004E127B"/>
    <w:rsid w:val="004E1C0A"/>
    <w:rsid w:val="004E30C5"/>
    <w:rsid w:val="004E4AA5"/>
    <w:rsid w:val="004E4AEE"/>
    <w:rsid w:val="004E59E3"/>
    <w:rsid w:val="004E67C0"/>
    <w:rsid w:val="004F391A"/>
    <w:rsid w:val="004F3CFB"/>
    <w:rsid w:val="004F5820"/>
    <w:rsid w:val="004F6456"/>
    <w:rsid w:val="004F696E"/>
    <w:rsid w:val="004F6C71"/>
    <w:rsid w:val="004F78E5"/>
    <w:rsid w:val="0050029B"/>
    <w:rsid w:val="005006C4"/>
    <w:rsid w:val="00500803"/>
    <w:rsid w:val="00501139"/>
    <w:rsid w:val="005014F1"/>
    <w:rsid w:val="005029B3"/>
    <w:rsid w:val="0050363E"/>
    <w:rsid w:val="005039BC"/>
    <w:rsid w:val="005043BB"/>
    <w:rsid w:val="00504A3D"/>
    <w:rsid w:val="00505767"/>
    <w:rsid w:val="005064B7"/>
    <w:rsid w:val="00506F21"/>
    <w:rsid w:val="005073F0"/>
    <w:rsid w:val="00510A7B"/>
    <w:rsid w:val="00512547"/>
    <w:rsid w:val="00512F6E"/>
    <w:rsid w:val="00513038"/>
    <w:rsid w:val="00514174"/>
    <w:rsid w:val="00515E6A"/>
    <w:rsid w:val="00516088"/>
    <w:rsid w:val="00516B0B"/>
    <w:rsid w:val="00520BE9"/>
    <w:rsid w:val="005220EC"/>
    <w:rsid w:val="00522278"/>
    <w:rsid w:val="005236CE"/>
    <w:rsid w:val="00523F95"/>
    <w:rsid w:val="00524D65"/>
    <w:rsid w:val="00525B16"/>
    <w:rsid w:val="00533D04"/>
    <w:rsid w:val="00534804"/>
    <w:rsid w:val="00534BDF"/>
    <w:rsid w:val="005354EA"/>
    <w:rsid w:val="00535813"/>
    <w:rsid w:val="0053585F"/>
    <w:rsid w:val="00535EC4"/>
    <w:rsid w:val="00535ED9"/>
    <w:rsid w:val="0053692B"/>
    <w:rsid w:val="00540046"/>
    <w:rsid w:val="00540C60"/>
    <w:rsid w:val="00541853"/>
    <w:rsid w:val="00543BDA"/>
    <w:rsid w:val="005441CC"/>
    <w:rsid w:val="00545056"/>
    <w:rsid w:val="005479DA"/>
    <w:rsid w:val="00547BCC"/>
    <w:rsid w:val="0055013B"/>
    <w:rsid w:val="005504D8"/>
    <w:rsid w:val="00551F6F"/>
    <w:rsid w:val="00552CB5"/>
    <w:rsid w:val="005538A6"/>
    <w:rsid w:val="00555044"/>
    <w:rsid w:val="00561475"/>
    <w:rsid w:val="00562308"/>
    <w:rsid w:val="005624D7"/>
    <w:rsid w:val="0056487B"/>
    <w:rsid w:val="00564FB9"/>
    <w:rsid w:val="00573D9E"/>
    <w:rsid w:val="00573DC0"/>
    <w:rsid w:val="005801E3"/>
    <w:rsid w:val="00581802"/>
    <w:rsid w:val="00582403"/>
    <w:rsid w:val="005836A8"/>
    <w:rsid w:val="0058409C"/>
    <w:rsid w:val="00584262"/>
    <w:rsid w:val="005860C6"/>
    <w:rsid w:val="00586630"/>
    <w:rsid w:val="00586FFA"/>
    <w:rsid w:val="00587ADD"/>
    <w:rsid w:val="00593A49"/>
    <w:rsid w:val="00596160"/>
    <w:rsid w:val="005966E2"/>
    <w:rsid w:val="00597007"/>
    <w:rsid w:val="0059772D"/>
    <w:rsid w:val="005977A4"/>
    <w:rsid w:val="005A0966"/>
    <w:rsid w:val="005A0B5C"/>
    <w:rsid w:val="005A11B7"/>
    <w:rsid w:val="005A260B"/>
    <w:rsid w:val="005A4A1B"/>
    <w:rsid w:val="005A4BD9"/>
    <w:rsid w:val="005A6CBB"/>
    <w:rsid w:val="005A7830"/>
    <w:rsid w:val="005A7E62"/>
    <w:rsid w:val="005A7FCE"/>
    <w:rsid w:val="005B0CED"/>
    <w:rsid w:val="005B0F3F"/>
    <w:rsid w:val="005B191C"/>
    <w:rsid w:val="005B4903"/>
    <w:rsid w:val="005B51CE"/>
    <w:rsid w:val="005B5885"/>
    <w:rsid w:val="005B5CD7"/>
    <w:rsid w:val="005B6CF6"/>
    <w:rsid w:val="005B7422"/>
    <w:rsid w:val="005C29B8"/>
    <w:rsid w:val="005C5F21"/>
    <w:rsid w:val="005C7156"/>
    <w:rsid w:val="005C741E"/>
    <w:rsid w:val="005D0C75"/>
    <w:rsid w:val="005D0C92"/>
    <w:rsid w:val="005D1AD0"/>
    <w:rsid w:val="005D26B4"/>
    <w:rsid w:val="005D3AE4"/>
    <w:rsid w:val="005D4171"/>
    <w:rsid w:val="005D5951"/>
    <w:rsid w:val="005D6073"/>
    <w:rsid w:val="005D6A95"/>
    <w:rsid w:val="005D6B2C"/>
    <w:rsid w:val="005D6D9C"/>
    <w:rsid w:val="005E2010"/>
    <w:rsid w:val="005E2335"/>
    <w:rsid w:val="005E34CA"/>
    <w:rsid w:val="005E3C18"/>
    <w:rsid w:val="005E4250"/>
    <w:rsid w:val="005E6812"/>
    <w:rsid w:val="005E7881"/>
    <w:rsid w:val="005E78E0"/>
    <w:rsid w:val="005F073C"/>
    <w:rsid w:val="005F0D9C"/>
    <w:rsid w:val="005F284E"/>
    <w:rsid w:val="005F70F5"/>
    <w:rsid w:val="006015CE"/>
    <w:rsid w:val="00604784"/>
    <w:rsid w:val="00606419"/>
    <w:rsid w:val="00607D29"/>
    <w:rsid w:val="0061094F"/>
    <w:rsid w:val="006114E8"/>
    <w:rsid w:val="00612952"/>
    <w:rsid w:val="00614CC1"/>
    <w:rsid w:val="00615A9D"/>
    <w:rsid w:val="00617387"/>
    <w:rsid w:val="006205D6"/>
    <w:rsid w:val="006208D3"/>
    <w:rsid w:val="00623157"/>
    <w:rsid w:val="0062513B"/>
    <w:rsid w:val="006252D8"/>
    <w:rsid w:val="006259BC"/>
    <w:rsid w:val="0062636B"/>
    <w:rsid w:val="00631510"/>
    <w:rsid w:val="00632182"/>
    <w:rsid w:val="00632AE0"/>
    <w:rsid w:val="00633C17"/>
    <w:rsid w:val="00634D9E"/>
    <w:rsid w:val="00636E3E"/>
    <w:rsid w:val="006379F7"/>
    <w:rsid w:val="00637E4D"/>
    <w:rsid w:val="00640620"/>
    <w:rsid w:val="00641A1F"/>
    <w:rsid w:val="00645904"/>
    <w:rsid w:val="00647126"/>
    <w:rsid w:val="00651ACB"/>
    <w:rsid w:val="00651C47"/>
    <w:rsid w:val="00652AB2"/>
    <w:rsid w:val="00653D8D"/>
    <w:rsid w:val="00653FED"/>
    <w:rsid w:val="00654A2E"/>
    <w:rsid w:val="00654EC0"/>
    <w:rsid w:val="0065525B"/>
    <w:rsid w:val="00655D4F"/>
    <w:rsid w:val="00656D29"/>
    <w:rsid w:val="0066209C"/>
    <w:rsid w:val="006640E5"/>
    <w:rsid w:val="006641F1"/>
    <w:rsid w:val="006646F1"/>
    <w:rsid w:val="00664929"/>
    <w:rsid w:val="00664F62"/>
    <w:rsid w:val="006655E1"/>
    <w:rsid w:val="00672060"/>
    <w:rsid w:val="00672BFD"/>
    <w:rsid w:val="006733C8"/>
    <w:rsid w:val="006770F4"/>
    <w:rsid w:val="00677A84"/>
    <w:rsid w:val="0068026D"/>
    <w:rsid w:val="00680A27"/>
    <w:rsid w:val="00680B52"/>
    <w:rsid w:val="006816A4"/>
    <w:rsid w:val="006819B8"/>
    <w:rsid w:val="006819D1"/>
    <w:rsid w:val="00684051"/>
    <w:rsid w:val="006840A6"/>
    <w:rsid w:val="006850CD"/>
    <w:rsid w:val="00685AAB"/>
    <w:rsid w:val="00692441"/>
    <w:rsid w:val="006932F4"/>
    <w:rsid w:val="006933CC"/>
    <w:rsid w:val="00694C4C"/>
    <w:rsid w:val="006A07AA"/>
    <w:rsid w:val="006A0C23"/>
    <w:rsid w:val="006A25E5"/>
    <w:rsid w:val="006A27D7"/>
    <w:rsid w:val="006A2B46"/>
    <w:rsid w:val="006A336D"/>
    <w:rsid w:val="006A37B9"/>
    <w:rsid w:val="006A5C96"/>
    <w:rsid w:val="006B1E6F"/>
    <w:rsid w:val="006B2672"/>
    <w:rsid w:val="006B54BF"/>
    <w:rsid w:val="006B5F44"/>
    <w:rsid w:val="006B5F90"/>
    <w:rsid w:val="006B62E4"/>
    <w:rsid w:val="006C1BBA"/>
    <w:rsid w:val="006C2079"/>
    <w:rsid w:val="006C3543"/>
    <w:rsid w:val="006C5A62"/>
    <w:rsid w:val="006C5D68"/>
    <w:rsid w:val="006C6976"/>
    <w:rsid w:val="006C6DD0"/>
    <w:rsid w:val="006C7E64"/>
    <w:rsid w:val="006D04EA"/>
    <w:rsid w:val="006D16C4"/>
    <w:rsid w:val="006D3E96"/>
    <w:rsid w:val="006D44DA"/>
    <w:rsid w:val="006D4515"/>
    <w:rsid w:val="006D4BB1"/>
    <w:rsid w:val="006D57A3"/>
    <w:rsid w:val="006D6593"/>
    <w:rsid w:val="006E2562"/>
    <w:rsid w:val="006E69D3"/>
    <w:rsid w:val="006F03A8"/>
    <w:rsid w:val="006F2ACA"/>
    <w:rsid w:val="006F2ADC"/>
    <w:rsid w:val="006F2BFE"/>
    <w:rsid w:val="006F31E9"/>
    <w:rsid w:val="006F38ED"/>
    <w:rsid w:val="006F6284"/>
    <w:rsid w:val="007002C5"/>
    <w:rsid w:val="0070149F"/>
    <w:rsid w:val="00702CF3"/>
    <w:rsid w:val="00704387"/>
    <w:rsid w:val="00707669"/>
    <w:rsid w:val="00710101"/>
    <w:rsid w:val="00711CBA"/>
    <w:rsid w:val="00711FB5"/>
    <w:rsid w:val="00712A01"/>
    <w:rsid w:val="00714F58"/>
    <w:rsid w:val="0072271A"/>
    <w:rsid w:val="00722FBF"/>
    <w:rsid w:val="00722FC2"/>
    <w:rsid w:val="00724E1B"/>
    <w:rsid w:val="00725949"/>
    <w:rsid w:val="00725FF0"/>
    <w:rsid w:val="00727FA2"/>
    <w:rsid w:val="007322D9"/>
    <w:rsid w:val="00732A1E"/>
    <w:rsid w:val="00732BC0"/>
    <w:rsid w:val="007332FB"/>
    <w:rsid w:val="0073720F"/>
    <w:rsid w:val="00737796"/>
    <w:rsid w:val="0074165C"/>
    <w:rsid w:val="00741936"/>
    <w:rsid w:val="00742C35"/>
    <w:rsid w:val="007432CA"/>
    <w:rsid w:val="007439EB"/>
    <w:rsid w:val="00743BF7"/>
    <w:rsid w:val="00743CB4"/>
    <w:rsid w:val="00743F0A"/>
    <w:rsid w:val="007444E8"/>
    <w:rsid w:val="0074548E"/>
    <w:rsid w:val="00745773"/>
    <w:rsid w:val="00745FCE"/>
    <w:rsid w:val="0074632E"/>
    <w:rsid w:val="00746800"/>
    <w:rsid w:val="00747D36"/>
    <w:rsid w:val="007501A8"/>
    <w:rsid w:val="00750D61"/>
    <w:rsid w:val="00750EE1"/>
    <w:rsid w:val="00752B4D"/>
    <w:rsid w:val="0075328F"/>
    <w:rsid w:val="00755402"/>
    <w:rsid w:val="00756B26"/>
    <w:rsid w:val="00756EDF"/>
    <w:rsid w:val="00757B7E"/>
    <w:rsid w:val="00757EAF"/>
    <w:rsid w:val="007600E3"/>
    <w:rsid w:val="00765C43"/>
    <w:rsid w:val="00765EFB"/>
    <w:rsid w:val="007671CA"/>
    <w:rsid w:val="00767C61"/>
    <w:rsid w:val="0077008A"/>
    <w:rsid w:val="00773C1F"/>
    <w:rsid w:val="00774AC6"/>
    <w:rsid w:val="00774DA4"/>
    <w:rsid w:val="00776599"/>
    <w:rsid w:val="0078114B"/>
    <w:rsid w:val="00781DD2"/>
    <w:rsid w:val="00783ECF"/>
    <w:rsid w:val="0078413A"/>
    <w:rsid w:val="00784365"/>
    <w:rsid w:val="00786BD2"/>
    <w:rsid w:val="00786F9F"/>
    <w:rsid w:val="00790E7A"/>
    <w:rsid w:val="007959E8"/>
    <w:rsid w:val="00795E9C"/>
    <w:rsid w:val="00796E35"/>
    <w:rsid w:val="00797CF1"/>
    <w:rsid w:val="007A0521"/>
    <w:rsid w:val="007A2E12"/>
    <w:rsid w:val="007A3475"/>
    <w:rsid w:val="007A41C8"/>
    <w:rsid w:val="007A54CE"/>
    <w:rsid w:val="007A6FD9"/>
    <w:rsid w:val="007A7FFA"/>
    <w:rsid w:val="007B04EB"/>
    <w:rsid w:val="007B0D4F"/>
    <w:rsid w:val="007B1827"/>
    <w:rsid w:val="007B5A3D"/>
    <w:rsid w:val="007B5B95"/>
    <w:rsid w:val="007B6032"/>
    <w:rsid w:val="007B68EA"/>
    <w:rsid w:val="007B7453"/>
    <w:rsid w:val="007C2D89"/>
    <w:rsid w:val="007C406F"/>
    <w:rsid w:val="007C4593"/>
    <w:rsid w:val="007C5309"/>
    <w:rsid w:val="007C6069"/>
    <w:rsid w:val="007D06C4"/>
    <w:rsid w:val="007D1352"/>
    <w:rsid w:val="007D2508"/>
    <w:rsid w:val="007D32AA"/>
    <w:rsid w:val="007D346A"/>
    <w:rsid w:val="007D4A44"/>
    <w:rsid w:val="007D6518"/>
    <w:rsid w:val="007D76BD"/>
    <w:rsid w:val="007E0BF1"/>
    <w:rsid w:val="007E157B"/>
    <w:rsid w:val="007E5976"/>
    <w:rsid w:val="007F0ED8"/>
    <w:rsid w:val="007F0F63"/>
    <w:rsid w:val="007F3783"/>
    <w:rsid w:val="007F75CE"/>
    <w:rsid w:val="008005D6"/>
    <w:rsid w:val="008013A4"/>
    <w:rsid w:val="008027CE"/>
    <w:rsid w:val="00802F42"/>
    <w:rsid w:val="00804383"/>
    <w:rsid w:val="00804BB7"/>
    <w:rsid w:val="00804D41"/>
    <w:rsid w:val="00810257"/>
    <w:rsid w:val="00810463"/>
    <w:rsid w:val="008104F5"/>
    <w:rsid w:val="00811072"/>
    <w:rsid w:val="00811369"/>
    <w:rsid w:val="00815419"/>
    <w:rsid w:val="00815DD6"/>
    <w:rsid w:val="008163C8"/>
    <w:rsid w:val="008164A1"/>
    <w:rsid w:val="00816540"/>
    <w:rsid w:val="00817325"/>
    <w:rsid w:val="00817791"/>
    <w:rsid w:val="008209E6"/>
    <w:rsid w:val="0082117F"/>
    <w:rsid w:val="00821416"/>
    <w:rsid w:val="00823303"/>
    <w:rsid w:val="008233B2"/>
    <w:rsid w:val="00823A9F"/>
    <w:rsid w:val="00823C85"/>
    <w:rsid w:val="008249EA"/>
    <w:rsid w:val="00825002"/>
    <w:rsid w:val="00825138"/>
    <w:rsid w:val="00825803"/>
    <w:rsid w:val="008269DD"/>
    <w:rsid w:val="00830621"/>
    <w:rsid w:val="00830DF6"/>
    <w:rsid w:val="0083348C"/>
    <w:rsid w:val="008373D3"/>
    <w:rsid w:val="00837AAD"/>
    <w:rsid w:val="00840617"/>
    <w:rsid w:val="00840F84"/>
    <w:rsid w:val="0084128D"/>
    <w:rsid w:val="00842A47"/>
    <w:rsid w:val="00843C13"/>
    <w:rsid w:val="008454F8"/>
    <w:rsid w:val="00846C3C"/>
    <w:rsid w:val="0085173A"/>
    <w:rsid w:val="00852710"/>
    <w:rsid w:val="00856377"/>
    <w:rsid w:val="00857A90"/>
    <w:rsid w:val="008603CE"/>
    <w:rsid w:val="008620FC"/>
    <w:rsid w:val="008627A5"/>
    <w:rsid w:val="00863E05"/>
    <w:rsid w:val="00864039"/>
    <w:rsid w:val="008647AA"/>
    <w:rsid w:val="00865ACA"/>
    <w:rsid w:val="00865D28"/>
    <w:rsid w:val="00865F85"/>
    <w:rsid w:val="00866243"/>
    <w:rsid w:val="0086670A"/>
    <w:rsid w:val="00866D1A"/>
    <w:rsid w:val="00867766"/>
    <w:rsid w:val="00867C10"/>
    <w:rsid w:val="00870439"/>
    <w:rsid w:val="00870961"/>
    <w:rsid w:val="00870DA1"/>
    <w:rsid w:val="00871E7E"/>
    <w:rsid w:val="008724AE"/>
    <w:rsid w:val="008740CF"/>
    <w:rsid w:val="008758EC"/>
    <w:rsid w:val="00881B0E"/>
    <w:rsid w:val="00881C8E"/>
    <w:rsid w:val="00883E99"/>
    <w:rsid w:val="00883F93"/>
    <w:rsid w:val="00884DB3"/>
    <w:rsid w:val="008856C5"/>
    <w:rsid w:val="00885A9D"/>
    <w:rsid w:val="008864F6"/>
    <w:rsid w:val="008900B2"/>
    <w:rsid w:val="0089049D"/>
    <w:rsid w:val="008928C9"/>
    <w:rsid w:val="008930CB"/>
    <w:rsid w:val="008938DC"/>
    <w:rsid w:val="00893FD1"/>
    <w:rsid w:val="00894836"/>
    <w:rsid w:val="00895172"/>
    <w:rsid w:val="00895680"/>
    <w:rsid w:val="00895FCC"/>
    <w:rsid w:val="00896DFF"/>
    <w:rsid w:val="0089762C"/>
    <w:rsid w:val="008A173B"/>
    <w:rsid w:val="008A1893"/>
    <w:rsid w:val="008A25E2"/>
    <w:rsid w:val="008A3526"/>
    <w:rsid w:val="008A57E6"/>
    <w:rsid w:val="008A6F81"/>
    <w:rsid w:val="008A769A"/>
    <w:rsid w:val="008B0C9C"/>
    <w:rsid w:val="008B166D"/>
    <w:rsid w:val="008B17F4"/>
    <w:rsid w:val="008B3615"/>
    <w:rsid w:val="008B4013"/>
    <w:rsid w:val="008B476B"/>
    <w:rsid w:val="008B4AC4"/>
    <w:rsid w:val="008B50C8"/>
    <w:rsid w:val="008B5281"/>
    <w:rsid w:val="008B7E05"/>
    <w:rsid w:val="008C1797"/>
    <w:rsid w:val="008C219C"/>
    <w:rsid w:val="008C22C6"/>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67A"/>
    <w:rsid w:val="008E4ABF"/>
    <w:rsid w:val="008E4B1E"/>
    <w:rsid w:val="008E4BB6"/>
    <w:rsid w:val="008E5518"/>
    <w:rsid w:val="008E6A84"/>
    <w:rsid w:val="008E7E83"/>
    <w:rsid w:val="008F0CDC"/>
    <w:rsid w:val="008F1209"/>
    <w:rsid w:val="008F17A3"/>
    <w:rsid w:val="008F1ED3"/>
    <w:rsid w:val="008F4C29"/>
    <w:rsid w:val="008F51A9"/>
    <w:rsid w:val="008F70BD"/>
    <w:rsid w:val="008F788F"/>
    <w:rsid w:val="008F7EA2"/>
    <w:rsid w:val="00902722"/>
    <w:rsid w:val="009027BC"/>
    <w:rsid w:val="00904E32"/>
    <w:rsid w:val="009062E6"/>
    <w:rsid w:val="00906905"/>
    <w:rsid w:val="00911BE5"/>
    <w:rsid w:val="009122BE"/>
    <w:rsid w:val="00913CA9"/>
    <w:rsid w:val="009145AE"/>
    <w:rsid w:val="009146CE"/>
    <w:rsid w:val="00914CA7"/>
    <w:rsid w:val="00915C3E"/>
    <w:rsid w:val="009161A8"/>
    <w:rsid w:val="00921AB4"/>
    <w:rsid w:val="00922B48"/>
    <w:rsid w:val="009244F2"/>
    <w:rsid w:val="009245AE"/>
    <w:rsid w:val="009245F5"/>
    <w:rsid w:val="009249EC"/>
    <w:rsid w:val="009273B3"/>
    <w:rsid w:val="009277BC"/>
    <w:rsid w:val="009305B5"/>
    <w:rsid w:val="00934F21"/>
    <w:rsid w:val="009378DD"/>
    <w:rsid w:val="0094119E"/>
    <w:rsid w:val="009429D5"/>
    <w:rsid w:val="00942BF1"/>
    <w:rsid w:val="00945180"/>
    <w:rsid w:val="00945428"/>
    <w:rsid w:val="0094607B"/>
    <w:rsid w:val="009462F1"/>
    <w:rsid w:val="00946D45"/>
    <w:rsid w:val="00947ADF"/>
    <w:rsid w:val="00953604"/>
    <w:rsid w:val="0095496B"/>
    <w:rsid w:val="0095623A"/>
    <w:rsid w:val="009606D9"/>
    <w:rsid w:val="00960F1E"/>
    <w:rsid w:val="009610DC"/>
    <w:rsid w:val="00961490"/>
    <w:rsid w:val="00962A05"/>
    <w:rsid w:val="0096381A"/>
    <w:rsid w:val="009638AD"/>
    <w:rsid w:val="009654BC"/>
    <w:rsid w:val="00965E04"/>
    <w:rsid w:val="009674AD"/>
    <w:rsid w:val="00970CDC"/>
    <w:rsid w:val="0097121A"/>
    <w:rsid w:val="0097221A"/>
    <w:rsid w:val="009732DB"/>
    <w:rsid w:val="009743DD"/>
    <w:rsid w:val="00975727"/>
    <w:rsid w:val="00977010"/>
    <w:rsid w:val="00977D02"/>
    <w:rsid w:val="00977FF9"/>
    <w:rsid w:val="009809BB"/>
    <w:rsid w:val="0098364B"/>
    <w:rsid w:val="009875CE"/>
    <w:rsid w:val="009911AF"/>
    <w:rsid w:val="00991875"/>
    <w:rsid w:val="00991F92"/>
    <w:rsid w:val="00992985"/>
    <w:rsid w:val="00993889"/>
    <w:rsid w:val="0099551B"/>
    <w:rsid w:val="0099640E"/>
    <w:rsid w:val="00996BD2"/>
    <w:rsid w:val="00997BF1"/>
    <w:rsid w:val="00997F45"/>
    <w:rsid w:val="009A089C"/>
    <w:rsid w:val="009A118E"/>
    <w:rsid w:val="009A191A"/>
    <w:rsid w:val="009A21CD"/>
    <w:rsid w:val="009A278C"/>
    <w:rsid w:val="009A2BC2"/>
    <w:rsid w:val="009A42C1"/>
    <w:rsid w:val="009A5429"/>
    <w:rsid w:val="009A72AD"/>
    <w:rsid w:val="009B09E0"/>
    <w:rsid w:val="009B0BC5"/>
    <w:rsid w:val="009B1058"/>
    <w:rsid w:val="009B1247"/>
    <w:rsid w:val="009B6029"/>
    <w:rsid w:val="009B6899"/>
    <w:rsid w:val="009B6971"/>
    <w:rsid w:val="009C27F1"/>
    <w:rsid w:val="009C3152"/>
    <w:rsid w:val="009C3257"/>
    <w:rsid w:val="009C42B3"/>
    <w:rsid w:val="009C4CFA"/>
    <w:rsid w:val="009C5070"/>
    <w:rsid w:val="009C5A09"/>
    <w:rsid w:val="009D06B1"/>
    <w:rsid w:val="009D112C"/>
    <w:rsid w:val="009D1385"/>
    <w:rsid w:val="009D3570"/>
    <w:rsid w:val="009D44AF"/>
    <w:rsid w:val="009D47FA"/>
    <w:rsid w:val="009D4C5B"/>
    <w:rsid w:val="009D50D2"/>
    <w:rsid w:val="009D6BCA"/>
    <w:rsid w:val="009E0F62"/>
    <w:rsid w:val="009E3D2D"/>
    <w:rsid w:val="009E4A58"/>
    <w:rsid w:val="009E5A2D"/>
    <w:rsid w:val="009E5AB2"/>
    <w:rsid w:val="009E6219"/>
    <w:rsid w:val="009E7680"/>
    <w:rsid w:val="009F03B3"/>
    <w:rsid w:val="009F140F"/>
    <w:rsid w:val="009F3193"/>
    <w:rsid w:val="009F35B9"/>
    <w:rsid w:val="009F3875"/>
    <w:rsid w:val="009F676F"/>
    <w:rsid w:val="009F6A98"/>
    <w:rsid w:val="00A0096C"/>
    <w:rsid w:val="00A01757"/>
    <w:rsid w:val="00A028C0"/>
    <w:rsid w:val="00A02BAE"/>
    <w:rsid w:val="00A04B31"/>
    <w:rsid w:val="00A058CF"/>
    <w:rsid w:val="00A064A2"/>
    <w:rsid w:val="00A06A6B"/>
    <w:rsid w:val="00A06D5B"/>
    <w:rsid w:val="00A07E47"/>
    <w:rsid w:val="00A107E5"/>
    <w:rsid w:val="00A129D0"/>
    <w:rsid w:val="00A12C33"/>
    <w:rsid w:val="00A138BA"/>
    <w:rsid w:val="00A14C8E"/>
    <w:rsid w:val="00A153D9"/>
    <w:rsid w:val="00A15F09"/>
    <w:rsid w:val="00A169B6"/>
    <w:rsid w:val="00A20F7F"/>
    <w:rsid w:val="00A222F2"/>
    <w:rsid w:val="00A2271D"/>
    <w:rsid w:val="00A237D5"/>
    <w:rsid w:val="00A30EFC"/>
    <w:rsid w:val="00A31984"/>
    <w:rsid w:val="00A32D73"/>
    <w:rsid w:val="00A3367B"/>
    <w:rsid w:val="00A352B5"/>
    <w:rsid w:val="00A3535C"/>
    <w:rsid w:val="00A3597D"/>
    <w:rsid w:val="00A36DD1"/>
    <w:rsid w:val="00A4006C"/>
    <w:rsid w:val="00A40091"/>
    <w:rsid w:val="00A4030F"/>
    <w:rsid w:val="00A4068B"/>
    <w:rsid w:val="00A41C79"/>
    <w:rsid w:val="00A41CB5"/>
    <w:rsid w:val="00A42CDF"/>
    <w:rsid w:val="00A432F7"/>
    <w:rsid w:val="00A4452E"/>
    <w:rsid w:val="00A446C4"/>
    <w:rsid w:val="00A4472C"/>
    <w:rsid w:val="00A44E69"/>
    <w:rsid w:val="00A4661E"/>
    <w:rsid w:val="00A55BD6"/>
    <w:rsid w:val="00A55D50"/>
    <w:rsid w:val="00A57142"/>
    <w:rsid w:val="00A57E36"/>
    <w:rsid w:val="00A648CD"/>
    <w:rsid w:val="00A64F56"/>
    <w:rsid w:val="00A6537A"/>
    <w:rsid w:val="00A65D40"/>
    <w:rsid w:val="00A67866"/>
    <w:rsid w:val="00A70B07"/>
    <w:rsid w:val="00A723F8"/>
    <w:rsid w:val="00A77B51"/>
    <w:rsid w:val="00A77CCB"/>
    <w:rsid w:val="00A83D8D"/>
    <w:rsid w:val="00A8446B"/>
    <w:rsid w:val="00A8473F"/>
    <w:rsid w:val="00A862D6"/>
    <w:rsid w:val="00A8715E"/>
    <w:rsid w:val="00A9295B"/>
    <w:rsid w:val="00A93B09"/>
    <w:rsid w:val="00A94988"/>
    <w:rsid w:val="00A952D7"/>
    <w:rsid w:val="00A963F7"/>
    <w:rsid w:val="00A96AD8"/>
    <w:rsid w:val="00AA052C"/>
    <w:rsid w:val="00AA1512"/>
    <w:rsid w:val="00AA1E45"/>
    <w:rsid w:val="00AA4286"/>
    <w:rsid w:val="00AA456B"/>
    <w:rsid w:val="00AA55A1"/>
    <w:rsid w:val="00AA57F5"/>
    <w:rsid w:val="00AA672E"/>
    <w:rsid w:val="00AA6EC9"/>
    <w:rsid w:val="00AB6309"/>
    <w:rsid w:val="00AB6C5F"/>
    <w:rsid w:val="00AB7129"/>
    <w:rsid w:val="00AB7674"/>
    <w:rsid w:val="00AC06C8"/>
    <w:rsid w:val="00AC08FE"/>
    <w:rsid w:val="00AC131A"/>
    <w:rsid w:val="00AC27A6"/>
    <w:rsid w:val="00AC288F"/>
    <w:rsid w:val="00AC30F7"/>
    <w:rsid w:val="00AC3605"/>
    <w:rsid w:val="00AC3A5A"/>
    <w:rsid w:val="00AC4D95"/>
    <w:rsid w:val="00AC5DF4"/>
    <w:rsid w:val="00AC6C66"/>
    <w:rsid w:val="00AD0AEF"/>
    <w:rsid w:val="00AD11B7"/>
    <w:rsid w:val="00AD1A94"/>
    <w:rsid w:val="00AD1C05"/>
    <w:rsid w:val="00AD4126"/>
    <w:rsid w:val="00AD421C"/>
    <w:rsid w:val="00AD44FA"/>
    <w:rsid w:val="00AD68ED"/>
    <w:rsid w:val="00AE070A"/>
    <w:rsid w:val="00AE101C"/>
    <w:rsid w:val="00AE2A69"/>
    <w:rsid w:val="00AE33EC"/>
    <w:rsid w:val="00AE37E5"/>
    <w:rsid w:val="00AE5EB4"/>
    <w:rsid w:val="00AE7A62"/>
    <w:rsid w:val="00AF06C8"/>
    <w:rsid w:val="00AF0C18"/>
    <w:rsid w:val="00AF47C5"/>
    <w:rsid w:val="00AF5398"/>
    <w:rsid w:val="00B03FF0"/>
    <w:rsid w:val="00B049AF"/>
    <w:rsid w:val="00B07242"/>
    <w:rsid w:val="00B10534"/>
    <w:rsid w:val="00B113DB"/>
    <w:rsid w:val="00B11D8A"/>
    <w:rsid w:val="00B12981"/>
    <w:rsid w:val="00B147DD"/>
    <w:rsid w:val="00B156FD"/>
    <w:rsid w:val="00B20F94"/>
    <w:rsid w:val="00B21D24"/>
    <w:rsid w:val="00B21F61"/>
    <w:rsid w:val="00B22EAF"/>
    <w:rsid w:val="00B261F1"/>
    <w:rsid w:val="00B265BC"/>
    <w:rsid w:val="00B31A8A"/>
    <w:rsid w:val="00B31FB1"/>
    <w:rsid w:val="00B33952"/>
    <w:rsid w:val="00B33C5E"/>
    <w:rsid w:val="00B342F4"/>
    <w:rsid w:val="00B34369"/>
    <w:rsid w:val="00B34DC2"/>
    <w:rsid w:val="00B35546"/>
    <w:rsid w:val="00B36E4F"/>
    <w:rsid w:val="00B378E5"/>
    <w:rsid w:val="00B418C9"/>
    <w:rsid w:val="00B4346D"/>
    <w:rsid w:val="00B440F4"/>
    <w:rsid w:val="00B447A5"/>
    <w:rsid w:val="00B45D53"/>
    <w:rsid w:val="00B4654C"/>
    <w:rsid w:val="00B47293"/>
    <w:rsid w:val="00B50E50"/>
    <w:rsid w:val="00B52120"/>
    <w:rsid w:val="00B54ABC"/>
    <w:rsid w:val="00B56FBE"/>
    <w:rsid w:val="00B60ACF"/>
    <w:rsid w:val="00B6250D"/>
    <w:rsid w:val="00B62B58"/>
    <w:rsid w:val="00B65149"/>
    <w:rsid w:val="00B66567"/>
    <w:rsid w:val="00B66F52"/>
    <w:rsid w:val="00B66FE5"/>
    <w:rsid w:val="00B72880"/>
    <w:rsid w:val="00B74E31"/>
    <w:rsid w:val="00B758BF"/>
    <w:rsid w:val="00B77C09"/>
    <w:rsid w:val="00B77EC8"/>
    <w:rsid w:val="00B80FB2"/>
    <w:rsid w:val="00B827A6"/>
    <w:rsid w:val="00B831CE"/>
    <w:rsid w:val="00B850C6"/>
    <w:rsid w:val="00B86677"/>
    <w:rsid w:val="00B87131"/>
    <w:rsid w:val="00B939B1"/>
    <w:rsid w:val="00B9617C"/>
    <w:rsid w:val="00B96D40"/>
    <w:rsid w:val="00B97386"/>
    <w:rsid w:val="00BA263B"/>
    <w:rsid w:val="00BA42B2"/>
    <w:rsid w:val="00BA58D4"/>
    <w:rsid w:val="00BA5B9E"/>
    <w:rsid w:val="00BA631B"/>
    <w:rsid w:val="00BA7C9A"/>
    <w:rsid w:val="00BB5F8F"/>
    <w:rsid w:val="00BB657A"/>
    <w:rsid w:val="00BC0A6C"/>
    <w:rsid w:val="00BC1A4E"/>
    <w:rsid w:val="00BC2107"/>
    <w:rsid w:val="00BC5DC7"/>
    <w:rsid w:val="00BC6B8B"/>
    <w:rsid w:val="00BC73D8"/>
    <w:rsid w:val="00BC761E"/>
    <w:rsid w:val="00BD3EC5"/>
    <w:rsid w:val="00BD52D7"/>
    <w:rsid w:val="00BD5AD2"/>
    <w:rsid w:val="00BE05A6"/>
    <w:rsid w:val="00BE22F3"/>
    <w:rsid w:val="00BE2BEE"/>
    <w:rsid w:val="00BE57D4"/>
    <w:rsid w:val="00BE5B52"/>
    <w:rsid w:val="00BE6855"/>
    <w:rsid w:val="00BE7B8D"/>
    <w:rsid w:val="00BF0993"/>
    <w:rsid w:val="00BF10A9"/>
    <w:rsid w:val="00BF1703"/>
    <w:rsid w:val="00BF231C"/>
    <w:rsid w:val="00BF3911"/>
    <w:rsid w:val="00BF51E5"/>
    <w:rsid w:val="00BF53F5"/>
    <w:rsid w:val="00BF6AD1"/>
    <w:rsid w:val="00BF74A6"/>
    <w:rsid w:val="00C013AD"/>
    <w:rsid w:val="00C0371A"/>
    <w:rsid w:val="00C03E89"/>
    <w:rsid w:val="00C047E4"/>
    <w:rsid w:val="00C04904"/>
    <w:rsid w:val="00C056B3"/>
    <w:rsid w:val="00C103E5"/>
    <w:rsid w:val="00C1243C"/>
    <w:rsid w:val="00C13319"/>
    <w:rsid w:val="00C13EE9"/>
    <w:rsid w:val="00C14F3F"/>
    <w:rsid w:val="00C174B5"/>
    <w:rsid w:val="00C21540"/>
    <w:rsid w:val="00C21906"/>
    <w:rsid w:val="00C21BFA"/>
    <w:rsid w:val="00C2343B"/>
    <w:rsid w:val="00C24C8D"/>
    <w:rsid w:val="00C25FE2"/>
    <w:rsid w:val="00C26B53"/>
    <w:rsid w:val="00C279B2"/>
    <w:rsid w:val="00C3214E"/>
    <w:rsid w:val="00C33E50"/>
    <w:rsid w:val="00C34C20"/>
    <w:rsid w:val="00C34D1E"/>
    <w:rsid w:val="00C35A3E"/>
    <w:rsid w:val="00C42130"/>
    <w:rsid w:val="00C423A4"/>
    <w:rsid w:val="00C423E3"/>
    <w:rsid w:val="00C42DBA"/>
    <w:rsid w:val="00C44BF5"/>
    <w:rsid w:val="00C51CE3"/>
    <w:rsid w:val="00C521D6"/>
    <w:rsid w:val="00C53541"/>
    <w:rsid w:val="00C55232"/>
    <w:rsid w:val="00C553A4"/>
    <w:rsid w:val="00C55A06"/>
    <w:rsid w:val="00C55D03"/>
    <w:rsid w:val="00C601BC"/>
    <w:rsid w:val="00C6329F"/>
    <w:rsid w:val="00C63340"/>
    <w:rsid w:val="00C643F9"/>
    <w:rsid w:val="00C64B7F"/>
    <w:rsid w:val="00C64E95"/>
    <w:rsid w:val="00C66815"/>
    <w:rsid w:val="00C71372"/>
    <w:rsid w:val="00C72410"/>
    <w:rsid w:val="00C7287F"/>
    <w:rsid w:val="00C73C56"/>
    <w:rsid w:val="00C757E3"/>
    <w:rsid w:val="00C80946"/>
    <w:rsid w:val="00C80CB8"/>
    <w:rsid w:val="00C80D71"/>
    <w:rsid w:val="00C819F8"/>
    <w:rsid w:val="00C8248C"/>
    <w:rsid w:val="00C834BB"/>
    <w:rsid w:val="00C84E33"/>
    <w:rsid w:val="00C855E7"/>
    <w:rsid w:val="00C86D6F"/>
    <w:rsid w:val="00C87706"/>
    <w:rsid w:val="00C905FC"/>
    <w:rsid w:val="00C90F63"/>
    <w:rsid w:val="00C92D03"/>
    <w:rsid w:val="00C92F8A"/>
    <w:rsid w:val="00C9319C"/>
    <w:rsid w:val="00C940D8"/>
    <w:rsid w:val="00C9435D"/>
    <w:rsid w:val="00C94DF2"/>
    <w:rsid w:val="00C96741"/>
    <w:rsid w:val="00CA2081"/>
    <w:rsid w:val="00CA2D1B"/>
    <w:rsid w:val="00CA375D"/>
    <w:rsid w:val="00CA3CAA"/>
    <w:rsid w:val="00CA662A"/>
    <w:rsid w:val="00CA6BD0"/>
    <w:rsid w:val="00CA7AFD"/>
    <w:rsid w:val="00CA7C3C"/>
    <w:rsid w:val="00CB0189"/>
    <w:rsid w:val="00CB0BA2"/>
    <w:rsid w:val="00CB1A42"/>
    <w:rsid w:val="00CB1B0C"/>
    <w:rsid w:val="00CB2C0B"/>
    <w:rsid w:val="00CB517D"/>
    <w:rsid w:val="00CC038D"/>
    <w:rsid w:val="00CC03CE"/>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B88"/>
    <w:rsid w:val="00CE30EA"/>
    <w:rsid w:val="00CF048A"/>
    <w:rsid w:val="00CF155A"/>
    <w:rsid w:val="00CF2947"/>
    <w:rsid w:val="00CF34D2"/>
    <w:rsid w:val="00CF600B"/>
    <w:rsid w:val="00CF686F"/>
    <w:rsid w:val="00CF6E60"/>
    <w:rsid w:val="00CF7BCA"/>
    <w:rsid w:val="00D008FD"/>
    <w:rsid w:val="00D00A94"/>
    <w:rsid w:val="00D0321C"/>
    <w:rsid w:val="00D035EC"/>
    <w:rsid w:val="00D06AB1"/>
    <w:rsid w:val="00D06FC1"/>
    <w:rsid w:val="00D072ED"/>
    <w:rsid w:val="00D07A16"/>
    <w:rsid w:val="00D1067E"/>
    <w:rsid w:val="00D10D4A"/>
    <w:rsid w:val="00D10F50"/>
    <w:rsid w:val="00D11272"/>
    <w:rsid w:val="00D126F5"/>
    <w:rsid w:val="00D1489E"/>
    <w:rsid w:val="00D20737"/>
    <w:rsid w:val="00D21E81"/>
    <w:rsid w:val="00D223DE"/>
    <w:rsid w:val="00D23145"/>
    <w:rsid w:val="00D25CA3"/>
    <w:rsid w:val="00D25E37"/>
    <w:rsid w:val="00D2661A"/>
    <w:rsid w:val="00D27582"/>
    <w:rsid w:val="00D27EC4"/>
    <w:rsid w:val="00D32719"/>
    <w:rsid w:val="00D3291A"/>
    <w:rsid w:val="00D33333"/>
    <w:rsid w:val="00D33910"/>
    <w:rsid w:val="00D352A2"/>
    <w:rsid w:val="00D362F9"/>
    <w:rsid w:val="00D4089A"/>
    <w:rsid w:val="00D4162B"/>
    <w:rsid w:val="00D42F7A"/>
    <w:rsid w:val="00D44FDD"/>
    <w:rsid w:val="00D4514F"/>
    <w:rsid w:val="00D451E2"/>
    <w:rsid w:val="00D45E89"/>
    <w:rsid w:val="00D45E8D"/>
    <w:rsid w:val="00D466AE"/>
    <w:rsid w:val="00D4734F"/>
    <w:rsid w:val="00D47706"/>
    <w:rsid w:val="00D51BF3"/>
    <w:rsid w:val="00D51CDF"/>
    <w:rsid w:val="00D57F91"/>
    <w:rsid w:val="00D6186C"/>
    <w:rsid w:val="00D64A92"/>
    <w:rsid w:val="00D66846"/>
    <w:rsid w:val="00D670FE"/>
    <w:rsid w:val="00D675FB"/>
    <w:rsid w:val="00D71F25"/>
    <w:rsid w:val="00D72A9C"/>
    <w:rsid w:val="00D77031"/>
    <w:rsid w:val="00D771E0"/>
    <w:rsid w:val="00D77205"/>
    <w:rsid w:val="00D77FAD"/>
    <w:rsid w:val="00D84941"/>
    <w:rsid w:val="00D84FA1"/>
    <w:rsid w:val="00D851F0"/>
    <w:rsid w:val="00D85FF9"/>
    <w:rsid w:val="00D869D7"/>
    <w:rsid w:val="00D86DB7"/>
    <w:rsid w:val="00D90721"/>
    <w:rsid w:val="00D92658"/>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073A"/>
    <w:rsid w:val="00DC2885"/>
    <w:rsid w:val="00DC3067"/>
    <w:rsid w:val="00DC370B"/>
    <w:rsid w:val="00DC40AD"/>
    <w:rsid w:val="00DC5B90"/>
    <w:rsid w:val="00DD00FF"/>
    <w:rsid w:val="00DD0619"/>
    <w:rsid w:val="00DD07FB"/>
    <w:rsid w:val="00DD25C6"/>
    <w:rsid w:val="00DD4FE5"/>
    <w:rsid w:val="00DD54B0"/>
    <w:rsid w:val="00DD57EE"/>
    <w:rsid w:val="00DD636F"/>
    <w:rsid w:val="00DD6BCC"/>
    <w:rsid w:val="00DE0A4B"/>
    <w:rsid w:val="00DE2410"/>
    <w:rsid w:val="00DE2939"/>
    <w:rsid w:val="00DE6E81"/>
    <w:rsid w:val="00DE703F"/>
    <w:rsid w:val="00DE7595"/>
    <w:rsid w:val="00DF0522"/>
    <w:rsid w:val="00DF1961"/>
    <w:rsid w:val="00DF1A3F"/>
    <w:rsid w:val="00DF44DE"/>
    <w:rsid w:val="00DF4649"/>
    <w:rsid w:val="00DF6555"/>
    <w:rsid w:val="00E00939"/>
    <w:rsid w:val="00E01138"/>
    <w:rsid w:val="00E02DFB"/>
    <w:rsid w:val="00E030F9"/>
    <w:rsid w:val="00E0311A"/>
    <w:rsid w:val="00E03138"/>
    <w:rsid w:val="00E03F22"/>
    <w:rsid w:val="00E03FD1"/>
    <w:rsid w:val="00E06404"/>
    <w:rsid w:val="00E11A85"/>
    <w:rsid w:val="00E12495"/>
    <w:rsid w:val="00E155F5"/>
    <w:rsid w:val="00E15CCD"/>
    <w:rsid w:val="00E17C13"/>
    <w:rsid w:val="00E202EF"/>
    <w:rsid w:val="00E210B5"/>
    <w:rsid w:val="00E219E7"/>
    <w:rsid w:val="00E2552F"/>
    <w:rsid w:val="00E3137A"/>
    <w:rsid w:val="00E321F6"/>
    <w:rsid w:val="00E323A6"/>
    <w:rsid w:val="00E32CCF"/>
    <w:rsid w:val="00E34A98"/>
    <w:rsid w:val="00E35D1E"/>
    <w:rsid w:val="00E364F9"/>
    <w:rsid w:val="00E36539"/>
    <w:rsid w:val="00E365FA"/>
    <w:rsid w:val="00E36789"/>
    <w:rsid w:val="00E40548"/>
    <w:rsid w:val="00E42B54"/>
    <w:rsid w:val="00E42BC1"/>
    <w:rsid w:val="00E44220"/>
    <w:rsid w:val="00E44A83"/>
    <w:rsid w:val="00E502C1"/>
    <w:rsid w:val="00E502DD"/>
    <w:rsid w:val="00E50D3A"/>
    <w:rsid w:val="00E51387"/>
    <w:rsid w:val="00E51E68"/>
    <w:rsid w:val="00E52EFD"/>
    <w:rsid w:val="00E5408A"/>
    <w:rsid w:val="00E56800"/>
    <w:rsid w:val="00E60A05"/>
    <w:rsid w:val="00E60C63"/>
    <w:rsid w:val="00E62FF9"/>
    <w:rsid w:val="00E635D6"/>
    <w:rsid w:val="00E639BC"/>
    <w:rsid w:val="00E664CC"/>
    <w:rsid w:val="00E70388"/>
    <w:rsid w:val="00E70F92"/>
    <w:rsid w:val="00E733F2"/>
    <w:rsid w:val="00E74313"/>
    <w:rsid w:val="00E74C54"/>
    <w:rsid w:val="00E77012"/>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1DB5"/>
    <w:rsid w:val="00EA58D1"/>
    <w:rsid w:val="00EA61BC"/>
    <w:rsid w:val="00EA6641"/>
    <w:rsid w:val="00EA681A"/>
    <w:rsid w:val="00EA735B"/>
    <w:rsid w:val="00EA7A0E"/>
    <w:rsid w:val="00EB1E69"/>
    <w:rsid w:val="00EB2086"/>
    <w:rsid w:val="00EB220E"/>
    <w:rsid w:val="00EB2AB3"/>
    <w:rsid w:val="00EB31ED"/>
    <w:rsid w:val="00EB4090"/>
    <w:rsid w:val="00EB425A"/>
    <w:rsid w:val="00EB5168"/>
    <w:rsid w:val="00EB5703"/>
    <w:rsid w:val="00EB5EDF"/>
    <w:rsid w:val="00EB60FE"/>
    <w:rsid w:val="00EB74DB"/>
    <w:rsid w:val="00EC1191"/>
    <w:rsid w:val="00EC2B74"/>
    <w:rsid w:val="00EC3D45"/>
    <w:rsid w:val="00EC4245"/>
    <w:rsid w:val="00EC5359"/>
    <w:rsid w:val="00EC562A"/>
    <w:rsid w:val="00ED067A"/>
    <w:rsid w:val="00ED2B50"/>
    <w:rsid w:val="00ED4DB0"/>
    <w:rsid w:val="00EE0350"/>
    <w:rsid w:val="00EE068A"/>
    <w:rsid w:val="00EE0719"/>
    <w:rsid w:val="00EE0E80"/>
    <w:rsid w:val="00EE100D"/>
    <w:rsid w:val="00EE42B4"/>
    <w:rsid w:val="00EE613F"/>
    <w:rsid w:val="00EE62A3"/>
    <w:rsid w:val="00EE7295"/>
    <w:rsid w:val="00EE7869"/>
    <w:rsid w:val="00EF054A"/>
    <w:rsid w:val="00EF3235"/>
    <w:rsid w:val="00EF345A"/>
    <w:rsid w:val="00EF68C6"/>
    <w:rsid w:val="00EF7E72"/>
    <w:rsid w:val="00F00A65"/>
    <w:rsid w:val="00F00FC3"/>
    <w:rsid w:val="00F03A13"/>
    <w:rsid w:val="00F06D37"/>
    <w:rsid w:val="00F07B9D"/>
    <w:rsid w:val="00F11586"/>
    <w:rsid w:val="00F1183B"/>
    <w:rsid w:val="00F11B01"/>
    <w:rsid w:val="00F11C9F"/>
    <w:rsid w:val="00F12263"/>
    <w:rsid w:val="00F12BB5"/>
    <w:rsid w:val="00F1409D"/>
    <w:rsid w:val="00F14214"/>
    <w:rsid w:val="00F157A9"/>
    <w:rsid w:val="00F16F00"/>
    <w:rsid w:val="00F20D68"/>
    <w:rsid w:val="00F228A4"/>
    <w:rsid w:val="00F247AB"/>
    <w:rsid w:val="00F25BB6"/>
    <w:rsid w:val="00F26B7E"/>
    <w:rsid w:val="00F27A0A"/>
    <w:rsid w:val="00F27A3B"/>
    <w:rsid w:val="00F27BEA"/>
    <w:rsid w:val="00F322F4"/>
    <w:rsid w:val="00F32644"/>
    <w:rsid w:val="00F33817"/>
    <w:rsid w:val="00F33EA6"/>
    <w:rsid w:val="00F365CE"/>
    <w:rsid w:val="00F416AE"/>
    <w:rsid w:val="00F420D5"/>
    <w:rsid w:val="00F43AFC"/>
    <w:rsid w:val="00F4514A"/>
    <w:rsid w:val="00F451EA"/>
    <w:rsid w:val="00F45447"/>
    <w:rsid w:val="00F456C6"/>
    <w:rsid w:val="00F4577B"/>
    <w:rsid w:val="00F46496"/>
    <w:rsid w:val="00F474D0"/>
    <w:rsid w:val="00F50179"/>
    <w:rsid w:val="00F515EE"/>
    <w:rsid w:val="00F52A07"/>
    <w:rsid w:val="00F53625"/>
    <w:rsid w:val="00F548C4"/>
    <w:rsid w:val="00F56511"/>
    <w:rsid w:val="00F56D81"/>
    <w:rsid w:val="00F57CB8"/>
    <w:rsid w:val="00F6194E"/>
    <w:rsid w:val="00F623AC"/>
    <w:rsid w:val="00F625B0"/>
    <w:rsid w:val="00F6412A"/>
    <w:rsid w:val="00F65893"/>
    <w:rsid w:val="00F66A4A"/>
    <w:rsid w:val="00F677F9"/>
    <w:rsid w:val="00F67FBF"/>
    <w:rsid w:val="00F71E22"/>
    <w:rsid w:val="00F72142"/>
    <w:rsid w:val="00F72AE7"/>
    <w:rsid w:val="00F740A6"/>
    <w:rsid w:val="00F74711"/>
    <w:rsid w:val="00F749AB"/>
    <w:rsid w:val="00F8177C"/>
    <w:rsid w:val="00F833BA"/>
    <w:rsid w:val="00F8389F"/>
    <w:rsid w:val="00F84FD0"/>
    <w:rsid w:val="00F859A8"/>
    <w:rsid w:val="00F86D87"/>
    <w:rsid w:val="00F87FDA"/>
    <w:rsid w:val="00F9108B"/>
    <w:rsid w:val="00F91349"/>
    <w:rsid w:val="00F93A8A"/>
    <w:rsid w:val="00F948A5"/>
    <w:rsid w:val="00F95248"/>
    <w:rsid w:val="00F956A9"/>
    <w:rsid w:val="00F963ED"/>
    <w:rsid w:val="00F966CF"/>
    <w:rsid w:val="00F96CAE"/>
    <w:rsid w:val="00F97C99"/>
    <w:rsid w:val="00FA0AD0"/>
    <w:rsid w:val="00FA662D"/>
    <w:rsid w:val="00FA73B1"/>
    <w:rsid w:val="00FB0CB9"/>
    <w:rsid w:val="00FB231D"/>
    <w:rsid w:val="00FB45F1"/>
    <w:rsid w:val="00FB4A72"/>
    <w:rsid w:val="00FB54E8"/>
    <w:rsid w:val="00FB7054"/>
    <w:rsid w:val="00FC17B7"/>
    <w:rsid w:val="00FC2CB7"/>
    <w:rsid w:val="00FC3543"/>
    <w:rsid w:val="00FC364D"/>
    <w:rsid w:val="00FC4090"/>
    <w:rsid w:val="00FC55B4"/>
    <w:rsid w:val="00FC60CA"/>
    <w:rsid w:val="00FD00E6"/>
    <w:rsid w:val="00FD09A1"/>
    <w:rsid w:val="00FD2A7C"/>
    <w:rsid w:val="00FD59EB"/>
    <w:rsid w:val="00FD67CD"/>
    <w:rsid w:val="00FD7299"/>
    <w:rsid w:val="00FE1FBE"/>
    <w:rsid w:val="00FE3901"/>
    <w:rsid w:val="00FE39D3"/>
    <w:rsid w:val="00FE3E60"/>
    <w:rsid w:val="00FE4BCE"/>
    <w:rsid w:val="00FE54AE"/>
    <w:rsid w:val="00FE576A"/>
    <w:rsid w:val="00FE7E79"/>
    <w:rsid w:val="00FF18D7"/>
    <w:rsid w:val="00FF3E7D"/>
    <w:rsid w:val="00FF59E1"/>
    <w:rsid w:val="00FF5B99"/>
    <w:rsid w:val="00FF730C"/>
    <w:rsid w:val="00FF73F4"/>
    <w:rsid w:val="00FF7CE4"/>
    <w:rsid w:val="00FF7E39"/>
    <w:rsid w:val="28385490"/>
    <w:rsid w:val="2CC540DB"/>
    <w:rsid w:val="47F665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Date"/>
    <w:basedOn w:val="1"/>
    <w:next w:val="1"/>
    <w:link w:val="241"/>
    <w:semiHidden/>
    <w:unhideWhenUsed/>
    <w:qFormat/>
    <w:uiPriority w:val="99"/>
    <w:pPr>
      <w:ind w:left="100" w:leftChars="2500"/>
    </w:p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character" w:customStyle="1" w:styleId="231">
    <w:name w:val="段 Char"/>
    <w:link w:val="232"/>
    <w:qFormat/>
    <w:uiPriority w:val="0"/>
    <w:rPr>
      <w:rFonts w:ascii="宋体"/>
      <w:sz w:val="21"/>
    </w:rPr>
  </w:style>
  <w:style w:type="paragraph" w:customStyle="1" w:styleId="232">
    <w:name w:val="段"/>
    <w:link w:val="231"/>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233">
    <w:name w:val="章标题"/>
    <w:next w:val="232"/>
    <w:qFormat/>
    <w:uiPriority w:val="0"/>
    <w:pPr>
      <w:numPr>
        <w:ilvl w:val="0"/>
        <w:numId w:val="32"/>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234">
    <w:name w:val="正文表标题"/>
    <w:next w:val="232"/>
    <w:qFormat/>
    <w:uiPriority w:val="0"/>
    <w:pPr>
      <w:tabs>
        <w:tab w:val="left" w:pos="360"/>
      </w:tabs>
      <w:spacing w:before="156" w:beforeLines="50" w:after="156" w:afterLines="50"/>
      <w:ind w:left="3687"/>
      <w:jc w:val="center"/>
    </w:pPr>
    <w:rPr>
      <w:rFonts w:ascii="黑体" w:hAnsi="Calibri" w:eastAsia="黑体" w:cs="Times New Roman"/>
      <w:sz w:val="21"/>
      <w:lang w:val="en-US" w:eastAsia="zh-CN" w:bidi="ar-SA"/>
    </w:rPr>
  </w:style>
  <w:style w:type="paragraph" w:customStyle="1" w:styleId="235">
    <w:name w:val="三级无"/>
    <w:basedOn w:val="236"/>
    <w:qFormat/>
    <w:uiPriority w:val="0"/>
    <w:pPr>
      <w:spacing w:before="0" w:beforeLines="0" w:after="0" w:afterLines="0"/>
    </w:pPr>
    <w:rPr>
      <w:rFonts w:ascii="宋体" w:eastAsia="宋体"/>
    </w:rPr>
  </w:style>
  <w:style w:type="paragraph" w:customStyle="1" w:styleId="236">
    <w:name w:val="三级条标题"/>
    <w:basedOn w:val="237"/>
    <w:next w:val="232"/>
    <w:qFormat/>
    <w:uiPriority w:val="0"/>
    <w:pPr>
      <w:numPr>
        <w:ilvl w:val="3"/>
      </w:numPr>
      <w:outlineLvl w:val="4"/>
    </w:pPr>
  </w:style>
  <w:style w:type="paragraph" w:customStyle="1" w:styleId="237">
    <w:name w:val="二级条标题"/>
    <w:basedOn w:val="238"/>
    <w:next w:val="232"/>
    <w:qFormat/>
    <w:uiPriority w:val="0"/>
    <w:pPr>
      <w:numPr>
        <w:ilvl w:val="2"/>
        <w:numId w:val="32"/>
      </w:numPr>
      <w:spacing w:before="50" w:after="50"/>
      <w:ind w:left="567"/>
      <w:outlineLvl w:val="3"/>
    </w:pPr>
  </w:style>
  <w:style w:type="paragraph" w:customStyle="1" w:styleId="238">
    <w:name w:val="一级条标题"/>
    <w:next w:val="232"/>
    <w:qFormat/>
    <w:uiPriority w:val="0"/>
    <w:pPr>
      <w:spacing w:before="156" w:beforeLines="50" w:after="156" w:afterLines="50"/>
      <w:outlineLvl w:val="2"/>
    </w:pPr>
    <w:rPr>
      <w:rFonts w:ascii="黑体" w:hAnsi="Calibri" w:eastAsia="黑体" w:cs="Times New Roman"/>
      <w:sz w:val="21"/>
      <w:szCs w:val="21"/>
      <w:lang w:val="en-US" w:eastAsia="zh-CN" w:bidi="ar-SA"/>
    </w:rPr>
  </w:style>
  <w:style w:type="paragraph" w:customStyle="1" w:styleId="239">
    <w:name w:val="二级无"/>
    <w:basedOn w:val="237"/>
    <w:qFormat/>
    <w:uiPriority w:val="0"/>
    <w:pPr>
      <w:numPr>
        <w:ilvl w:val="0"/>
        <w:numId w:val="0"/>
      </w:numPr>
      <w:spacing w:before="0" w:beforeLines="0" w:after="0" w:afterLines="0"/>
    </w:pPr>
    <w:rPr>
      <w:rFonts w:ascii="宋体" w:eastAsia="宋体"/>
    </w:rPr>
  </w:style>
  <w:style w:type="paragraph" w:customStyle="1" w:styleId="240">
    <w:name w:val="字母编号列项（一级）"/>
    <w:qFormat/>
    <w:uiPriority w:val="0"/>
    <w:pPr>
      <w:numPr>
        <w:ilvl w:val="0"/>
        <w:numId w:val="33"/>
      </w:numPr>
      <w:jc w:val="both"/>
    </w:pPr>
    <w:rPr>
      <w:rFonts w:ascii="宋体" w:hAnsi="Calibri" w:eastAsia="宋体" w:cs="Times New Roman"/>
      <w:sz w:val="21"/>
      <w:lang w:val="en-US" w:eastAsia="zh-CN" w:bidi="ar-SA"/>
    </w:rPr>
  </w:style>
  <w:style w:type="character" w:customStyle="1" w:styleId="241">
    <w:name w:val="日期 字符"/>
    <w:basedOn w:val="29"/>
    <w:link w:val="16"/>
    <w:semiHidden/>
    <w:qFormat/>
    <w:uiPriority w:val="99"/>
    <w:rPr>
      <w:kern w:val="2"/>
      <w:sz w:val="21"/>
      <w:szCs w:val="21"/>
    </w:rPr>
  </w:style>
  <w:style w:type="paragraph" w:customStyle="1" w:styleId="242">
    <w:name w:val="四级条标题"/>
    <w:basedOn w:val="236"/>
    <w:next w:val="232"/>
    <w:qFormat/>
    <w:uiPriority w:val="0"/>
    <w:pPr>
      <w:numPr>
        <w:ilvl w:val="0"/>
        <w:numId w:val="0"/>
      </w:numPr>
      <w:outlineLvl w:val="5"/>
    </w:pPr>
    <w:rPr>
      <w:rFonts w:hAnsi="Times New Roman"/>
    </w:rPr>
  </w:style>
  <w:style w:type="paragraph" w:customStyle="1" w:styleId="243">
    <w:name w:val="五级条标题"/>
    <w:basedOn w:val="242"/>
    <w:next w:val="232"/>
    <w:qFormat/>
    <w:uiPriority w:val="0"/>
    <w:pPr>
      <w:outlineLvl w:val="6"/>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wmf"/><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4A9F9883FF745F5B36977B1A97EC511"/>
        <w:style w:val=""/>
        <w:category>
          <w:name w:val="常规"/>
          <w:gallery w:val="placeholder"/>
        </w:category>
        <w:types>
          <w:type w:val="bbPlcHdr"/>
        </w:types>
        <w:behaviors>
          <w:behavior w:val="content"/>
        </w:behaviors>
        <w:description w:val=""/>
        <w:guid w:val="{B04BE474-2F4C-40A5-AD70-8FA19834321B}"/>
      </w:docPartPr>
      <w:docPartBody>
        <w:p>
          <w:pPr>
            <w:pStyle w:val="5"/>
          </w:pPr>
          <w:r>
            <w:rPr>
              <w:rStyle w:val="4"/>
              <w:rFonts w:hint="eastAsia"/>
            </w:rPr>
            <w:t>单击或点击此处输入文字。</w:t>
          </w:r>
        </w:p>
      </w:docPartBody>
    </w:docPart>
    <w:docPart>
      <w:docPartPr>
        <w:name w:val="94DE3E7453524D7DBE148E9FF0C69E8E"/>
        <w:style w:val=""/>
        <w:category>
          <w:name w:val="常规"/>
          <w:gallery w:val="placeholder"/>
        </w:category>
        <w:types>
          <w:type w:val="bbPlcHdr"/>
        </w:types>
        <w:behaviors>
          <w:behavior w:val="content"/>
        </w:behaviors>
        <w:description w:val=""/>
        <w:guid w:val="{1F43787A-AF5E-4EB4-9EDC-CFFC741235F4}"/>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B2C"/>
    <w:rsid w:val="0000423B"/>
    <w:rsid w:val="000855C9"/>
    <w:rsid w:val="00094C5E"/>
    <w:rsid w:val="000C616F"/>
    <w:rsid w:val="001D1881"/>
    <w:rsid w:val="001E2E5A"/>
    <w:rsid w:val="001E70EB"/>
    <w:rsid w:val="0021597A"/>
    <w:rsid w:val="00290D15"/>
    <w:rsid w:val="00295DAB"/>
    <w:rsid w:val="002A2068"/>
    <w:rsid w:val="00394E0F"/>
    <w:rsid w:val="003E6639"/>
    <w:rsid w:val="00431544"/>
    <w:rsid w:val="004B5A6D"/>
    <w:rsid w:val="004C2C68"/>
    <w:rsid w:val="00510E6D"/>
    <w:rsid w:val="00515CB0"/>
    <w:rsid w:val="005A72D3"/>
    <w:rsid w:val="005F2794"/>
    <w:rsid w:val="00612222"/>
    <w:rsid w:val="00675330"/>
    <w:rsid w:val="006C3F03"/>
    <w:rsid w:val="00726351"/>
    <w:rsid w:val="00732905"/>
    <w:rsid w:val="007A48B4"/>
    <w:rsid w:val="007D2912"/>
    <w:rsid w:val="007E0EA3"/>
    <w:rsid w:val="008A07D0"/>
    <w:rsid w:val="008B06A8"/>
    <w:rsid w:val="008B3A6F"/>
    <w:rsid w:val="008D42F1"/>
    <w:rsid w:val="0091689D"/>
    <w:rsid w:val="00943B98"/>
    <w:rsid w:val="00983A09"/>
    <w:rsid w:val="009B4734"/>
    <w:rsid w:val="009F0EFA"/>
    <w:rsid w:val="00A95E1B"/>
    <w:rsid w:val="00B62690"/>
    <w:rsid w:val="00B83906"/>
    <w:rsid w:val="00BB4662"/>
    <w:rsid w:val="00C4689D"/>
    <w:rsid w:val="00C5692D"/>
    <w:rsid w:val="00C84800"/>
    <w:rsid w:val="00CE41E5"/>
    <w:rsid w:val="00CF1ECA"/>
    <w:rsid w:val="00D41388"/>
    <w:rsid w:val="00D60A12"/>
    <w:rsid w:val="00DC1A09"/>
    <w:rsid w:val="00E47007"/>
    <w:rsid w:val="00E6106E"/>
    <w:rsid w:val="00E84D30"/>
    <w:rsid w:val="00F36CEF"/>
    <w:rsid w:val="00F43951"/>
    <w:rsid w:val="00F81BA9"/>
    <w:rsid w:val="00FB4B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84A9F9883FF745F5B36977B1A97EC5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4DE3E7453524D7DBE148E9FF0C69E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208DB2781DE45B791AFE7C81EEA493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1AD141-A40B-4EE1-B31A-754E06A46B94}">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10</Pages>
  <Words>925</Words>
  <Characters>5275</Characters>
  <Lines>43</Lines>
  <Paragraphs>12</Paragraphs>
  <TotalTime>31</TotalTime>
  <ScaleCrop>false</ScaleCrop>
  <LinksUpToDate>false</LinksUpToDate>
  <CharactersWithSpaces>6188</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2023-12-28T08:36:00Z</dcterms:created>
  <dc:creator>赵M</dc:creator>
  <dc:description>&lt;config cover="true" show_menu="true" version="1.0.0" doctype="SDKXY"&gt;_x000d_
&lt;/config&gt;</dc:description>
  <cp:lastModifiedBy>WPS_1620896971</cp:lastModifiedBy>
  <cp:lastPrinted>2021-02-02T08:22:00Z</cp:lastPrinted>
  <dcterms:modified xsi:type="dcterms:W3CDTF">2023-12-29T03:18:44Z</dcterms:modified>
  <dc:title>团体标准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2052-12.1.0.15990</vt:lpwstr>
  </property>
  <property fmtid="{D5CDD505-2E9C-101B-9397-08002B2CF9AE}" pid="15" name="ICV">
    <vt:lpwstr>CE0B3DE8358C4A4EB96E7C9354B6FAFD_12</vt:lpwstr>
  </property>
</Properties>
</file>